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12" w:rsidRPr="00311145" w:rsidRDefault="003F3312" w:rsidP="003F3312">
      <w:pPr>
        <w:spacing w:line="329" w:lineRule="exact"/>
        <w:ind w:right="4842"/>
        <w:rPr>
          <w:rFonts w:eastAsia="黑体"/>
          <w:spacing w:val="2"/>
          <w:kern w:val="0"/>
          <w:sz w:val="32"/>
          <w:szCs w:val="24"/>
        </w:rPr>
      </w:pPr>
      <w:r w:rsidRPr="00311145">
        <w:rPr>
          <w:rFonts w:eastAsia="黑体"/>
          <w:spacing w:val="2"/>
          <w:kern w:val="0"/>
          <w:sz w:val="32"/>
          <w:szCs w:val="24"/>
        </w:rPr>
        <w:t>附件</w:t>
      </w:r>
      <w:r w:rsidRPr="00311145">
        <w:rPr>
          <w:rFonts w:eastAsia="黑体"/>
          <w:spacing w:val="2"/>
          <w:kern w:val="0"/>
          <w:sz w:val="32"/>
          <w:szCs w:val="24"/>
        </w:rPr>
        <w:t>1</w:t>
      </w:r>
    </w:p>
    <w:p w:rsidR="003F3312" w:rsidRPr="00311145" w:rsidRDefault="003F3312" w:rsidP="003F3312">
      <w:pPr>
        <w:spacing w:line="329" w:lineRule="exact"/>
        <w:ind w:right="4842"/>
        <w:rPr>
          <w:rFonts w:eastAsia="仿宋"/>
          <w:spacing w:val="2"/>
          <w:kern w:val="0"/>
          <w:sz w:val="24"/>
          <w:szCs w:val="24"/>
        </w:rPr>
      </w:pPr>
      <w:bookmarkStart w:id="0" w:name="_GoBack"/>
      <w:bookmarkEnd w:id="0"/>
    </w:p>
    <w:p w:rsidR="003F3312" w:rsidRPr="00311145" w:rsidRDefault="003F3312" w:rsidP="003F3312">
      <w:pPr>
        <w:spacing w:line="560" w:lineRule="exact"/>
        <w:jc w:val="center"/>
        <w:rPr>
          <w:rFonts w:eastAsia="方正小标宋简体"/>
          <w:spacing w:val="2"/>
          <w:kern w:val="0"/>
          <w:sz w:val="44"/>
          <w:szCs w:val="30"/>
        </w:rPr>
      </w:pPr>
      <w:r w:rsidRPr="00311145">
        <w:rPr>
          <w:rFonts w:eastAsia="方正小标宋简体"/>
          <w:spacing w:val="2"/>
          <w:kern w:val="0"/>
          <w:sz w:val="44"/>
          <w:szCs w:val="30"/>
        </w:rPr>
        <w:t>中山大学本科</w:t>
      </w:r>
      <w:r w:rsidRPr="00311145">
        <w:rPr>
          <w:rFonts w:eastAsia="方正小标宋简体"/>
          <w:kern w:val="0"/>
          <w:sz w:val="44"/>
          <w:szCs w:val="30"/>
        </w:rPr>
        <w:t>专</w:t>
      </w:r>
      <w:r w:rsidRPr="00311145">
        <w:rPr>
          <w:rFonts w:eastAsia="方正小标宋简体"/>
          <w:spacing w:val="2"/>
          <w:kern w:val="0"/>
          <w:sz w:val="44"/>
          <w:szCs w:val="30"/>
        </w:rPr>
        <w:t>业办学院（系）自评参考要素</w:t>
      </w:r>
    </w:p>
    <w:p w:rsidR="003F3312" w:rsidRPr="00311145" w:rsidRDefault="003F3312" w:rsidP="003F3312">
      <w:pPr>
        <w:spacing w:line="560" w:lineRule="exact"/>
        <w:jc w:val="center"/>
        <w:rPr>
          <w:rFonts w:eastAsia="黑体"/>
          <w:b/>
          <w:spacing w:val="2"/>
          <w:kern w:val="0"/>
          <w:sz w:val="32"/>
          <w:szCs w:val="30"/>
        </w:rPr>
      </w:pPr>
    </w:p>
    <w:tbl>
      <w:tblPr>
        <w:tblW w:w="9810"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267"/>
        <w:gridCol w:w="6125"/>
      </w:tblGrid>
      <w:tr w:rsidR="004E1571" w:rsidRPr="004E1571" w:rsidTr="004E1571">
        <w:trPr>
          <w:cantSplit/>
          <w:trHeight w:val="510"/>
          <w:tblHeader/>
          <w:jc w:val="center"/>
        </w:trPr>
        <w:tc>
          <w:tcPr>
            <w:tcW w:w="1418" w:type="dxa"/>
            <w:shd w:val="clear" w:color="auto" w:fill="auto"/>
            <w:noWrap/>
            <w:vAlign w:val="center"/>
            <w:hideMark/>
          </w:tcPr>
          <w:p w:rsidR="003F3312" w:rsidRPr="004E1571" w:rsidRDefault="003F3312" w:rsidP="00311145">
            <w:pPr>
              <w:widowControl/>
              <w:adjustRightInd w:val="0"/>
              <w:snapToGrid w:val="0"/>
              <w:jc w:val="center"/>
              <w:rPr>
                <w:b/>
                <w:color w:val="000000"/>
                <w:kern w:val="0"/>
                <w:sz w:val="24"/>
                <w:szCs w:val="24"/>
              </w:rPr>
            </w:pPr>
            <w:r w:rsidRPr="004E1571">
              <w:rPr>
                <w:b/>
                <w:color w:val="000000"/>
                <w:kern w:val="0"/>
                <w:sz w:val="24"/>
                <w:szCs w:val="24"/>
              </w:rPr>
              <w:t>一级指标</w:t>
            </w:r>
          </w:p>
        </w:tc>
        <w:tc>
          <w:tcPr>
            <w:tcW w:w="2267" w:type="dxa"/>
            <w:shd w:val="clear" w:color="auto" w:fill="auto"/>
            <w:noWrap/>
            <w:vAlign w:val="center"/>
            <w:hideMark/>
          </w:tcPr>
          <w:p w:rsidR="003F3312" w:rsidRPr="004E1571" w:rsidRDefault="003F3312" w:rsidP="00311145">
            <w:pPr>
              <w:widowControl/>
              <w:adjustRightInd w:val="0"/>
              <w:snapToGrid w:val="0"/>
              <w:jc w:val="center"/>
              <w:rPr>
                <w:b/>
                <w:color w:val="000000"/>
                <w:kern w:val="0"/>
                <w:sz w:val="24"/>
                <w:szCs w:val="24"/>
              </w:rPr>
            </w:pPr>
            <w:r w:rsidRPr="004E1571">
              <w:rPr>
                <w:b/>
                <w:color w:val="000000"/>
                <w:kern w:val="0"/>
                <w:sz w:val="24"/>
                <w:szCs w:val="24"/>
              </w:rPr>
              <w:t>二级指标</w:t>
            </w:r>
          </w:p>
        </w:tc>
        <w:tc>
          <w:tcPr>
            <w:tcW w:w="6125" w:type="dxa"/>
            <w:shd w:val="clear" w:color="auto" w:fill="auto"/>
            <w:noWrap/>
            <w:vAlign w:val="center"/>
            <w:hideMark/>
          </w:tcPr>
          <w:p w:rsidR="003F3312" w:rsidRPr="004E1571" w:rsidRDefault="003F3312" w:rsidP="00311145">
            <w:pPr>
              <w:widowControl/>
              <w:adjustRightInd w:val="0"/>
              <w:snapToGrid w:val="0"/>
              <w:jc w:val="center"/>
              <w:rPr>
                <w:b/>
                <w:color w:val="000000"/>
                <w:kern w:val="0"/>
                <w:sz w:val="24"/>
                <w:szCs w:val="24"/>
              </w:rPr>
            </w:pPr>
            <w:r w:rsidRPr="004E1571">
              <w:rPr>
                <w:b/>
                <w:color w:val="000000"/>
                <w:kern w:val="0"/>
                <w:sz w:val="24"/>
                <w:szCs w:val="24"/>
              </w:rPr>
              <w:t>主要观测点</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1.</w:t>
            </w:r>
            <w:r w:rsidRPr="004E1571">
              <w:rPr>
                <w:color w:val="000000"/>
                <w:kern w:val="0"/>
                <w:sz w:val="24"/>
                <w:szCs w:val="24"/>
              </w:rPr>
              <w:t>专业办学</w:t>
            </w:r>
          </w:p>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定位与发展规划</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定位与规划</w:t>
            </w:r>
          </w:p>
        </w:tc>
        <w:tc>
          <w:tcPr>
            <w:tcW w:w="6125" w:type="dxa"/>
            <w:shd w:val="clear" w:color="auto" w:fill="auto"/>
            <w:noWrap/>
            <w:vAlign w:val="center"/>
            <w:hideMark/>
          </w:tcPr>
          <w:p w:rsidR="003F3312" w:rsidRPr="004E1571" w:rsidRDefault="003F3312" w:rsidP="00731C03">
            <w:pPr>
              <w:widowControl/>
              <w:adjustRightInd w:val="0"/>
              <w:snapToGrid w:val="0"/>
              <w:jc w:val="left"/>
              <w:rPr>
                <w:color w:val="000000"/>
                <w:kern w:val="0"/>
                <w:sz w:val="24"/>
                <w:szCs w:val="24"/>
              </w:rPr>
            </w:pPr>
            <w:r w:rsidRPr="004E1571">
              <w:rPr>
                <w:color w:val="000000"/>
                <w:kern w:val="0"/>
                <w:sz w:val="24"/>
                <w:szCs w:val="24"/>
              </w:rPr>
              <w:t>专业办学指导思想与培养目标明确、可行</w:t>
            </w:r>
            <w:r w:rsidR="00731C03" w:rsidRPr="004E1571">
              <w:rPr>
                <w:rFonts w:hint="eastAsia"/>
                <w:color w:val="000000"/>
                <w:kern w:val="0"/>
                <w:sz w:val="24"/>
                <w:szCs w:val="24"/>
              </w:rPr>
              <w:t>，</w:t>
            </w:r>
            <w:r w:rsidR="00B338CF" w:rsidRPr="004E1571">
              <w:rPr>
                <w:rFonts w:hint="eastAsia"/>
                <w:color w:val="000000"/>
                <w:kern w:val="0"/>
                <w:sz w:val="24"/>
                <w:szCs w:val="24"/>
              </w:rPr>
              <w:t>与</w:t>
            </w:r>
            <w:r w:rsidR="00B338CF" w:rsidRPr="004E1571">
              <w:rPr>
                <w:color w:val="000000"/>
                <w:kern w:val="0"/>
                <w:sz w:val="24"/>
                <w:szCs w:val="24"/>
              </w:rPr>
              <w:t>“</w:t>
            </w:r>
            <w:r w:rsidR="00B338CF" w:rsidRPr="004E1571">
              <w:rPr>
                <w:rFonts w:hint="eastAsia"/>
                <w:color w:val="000000"/>
                <w:kern w:val="0"/>
                <w:sz w:val="24"/>
                <w:szCs w:val="24"/>
              </w:rPr>
              <w:t>德才兼备</w:t>
            </w:r>
            <w:r w:rsidR="00B338CF" w:rsidRPr="004E1571">
              <w:rPr>
                <w:color w:val="000000"/>
                <w:kern w:val="0"/>
                <w:sz w:val="24"/>
                <w:szCs w:val="24"/>
              </w:rPr>
              <w:t>、领袖气质、</w:t>
            </w:r>
            <w:r w:rsidR="00B338CF" w:rsidRPr="004E1571">
              <w:rPr>
                <w:rFonts w:hint="eastAsia"/>
                <w:color w:val="000000"/>
                <w:kern w:val="0"/>
                <w:sz w:val="24"/>
                <w:szCs w:val="24"/>
              </w:rPr>
              <w:t>家国</w:t>
            </w:r>
            <w:r w:rsidR="00B338CF" w:rsidRPr="004E1571">
              <w:rPr>
                <w:color w:val="000000"/>
                <w:kern w:val="0"/>
                <w:sz w:val="24"/>
                <w:szCs w:val="24"/>
              </w:rPr>
              <w:t>情怀</w:t>
            </w:r>
            <w:r w:rsidR="00B338CF" w:rsidRPr="004E1571">
              <w:rPr>
                <w:color w:val="000000"/>
                <w:kern w:val="0"/>
                <w:sz w:val="24"/>
                <w:szCs w:val="24"/>
              </w:rPr>
              <w:t>”</w:t>
            </w:r>
            <w:r w:rsidR="00731C03" w:rsidRPr="004E1571">
              <w:rPr>
                <w:color w:val="000000"/>
                <w:kern w:val="0"/>
                <w:sz w:val="24"/>
                <w:szCs w:val="24"/>
              </w:rPr>
              <w:t>的培养目标</w:t>
            </w:r>
            <w:r w:rsidR="00B338CF" w:rsidRPr="004E1571">
              <w:rPr>
                <w:rFonts w:hint="eastAsia"/>
                <w:color w:val="000000"/>
                <w:kern w:val="0"/>
                <w:sz w:val="24"/>
                <w:szCs w:val="24"/>
              </w:rPr>
              <w:t>紧密</w:t>
            </w:r>
            <w:r w:rsidR="00B338CF" w:rsidRPr="004E1571">
              <w:rPr>
                <w:color w:val="000000"/>
                <w:kern w:val="0"/>
                <w:sz w:val="24"/>
                <w:szCs w:val="24"/>
              </w:rPr>
              <w:t>契合</w:t>
            </w:r>
            <w:r w:rsidR="00731C03" w:rsidRPr="004E1571">
              <w:rPr>
                <w:color w:val="000000"/>
                <w:kern w:val="0"/>
                <w:sz w:val="24"/>
                <w:szCs w:val="24"/>
              </w:rPr>
              <w:t>情况</w:t>
            </w:r>
            <w:r w:rsidR="00B338CF" w:rsidRPr="004E1571">
              <w:rPr>
                <w:rFonts w:hint="eastAsia"/>
                <w:color w:val="000000"/>
                <w:kern w:val="0"/>
                <w:sz w:val="24"/>
                <w:szCs w:val="24"/>
              </w:rPr>
              <w:t>。</w:t>
            </w:r>
            <w:r w:rsidRPr="004E1571">
              <w:rPr>
                <w:color w:val="000000"/>
                <w:kern w:val="0"/>
                <w:sz w:val="24"/>
                <w:szCs w:val="24"/>
              </w:rPr>
              <w:t>与学校整体办学定位、院（系）及学科发展、区域经济对人才培养需求符合度情况；结合大学本科教育理念与国际同学科发展趋势前瞻性地制订本科教育发展规划的情况。</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培养方案</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人才培养方案制订适应经济、社会和学科专业发展的需要，具有较先进的教育观念，并能在课程设置中落实和执行；课程体系建设与专业核心课程设置情况。</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2.</w:t>
            </w:r>
            <w:r w:rsidRPr="004E1571">
              <w:rPr>
                <w:color w:val="000000"/>
                <w:kern w:val="0"/>
                <w:sz w:val="24"/>
                <w:szCs w:val="24"/>
              </w:rPr>
              <w:t>师资队伍</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数量与结构</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专任教师的数量比例、年龄、学缘和学位结构。</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教授授课</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教授、副教授为本科生上课比例。</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教风建设</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教师旷教率、规定课程完成率、调课率。</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教学团队</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专业负责人水平；</w:t>
            </w:r>
            <w:r w:rsidRPr="004E1571">
              <w:rPr>
                <w:color w:val="333333"/>
                <w:kern w:val="0"/>
                <w:sz w:val="24"/>
                <w:szCs w:val="24"/>
              </w:rPr>
              <w:t>教师教学能力提升和中青年教师培养；</w:t>
            </w:r>
            <w:r w:rsidRPr="004E1571">
              <w:rPr>
                <w:color w:val="000000"/>
                <w:kern w:val="0"/>
                <w:sz w:val="24"/>
                <w:szCs w:val="24"/>
              </w:rPr>
              <w:t>省级以上教学名师人数</w:t>
            </w:r>
            <w:r w:rsidRPr="004E1571">
              <w:rPr>
                <w:color w:val="333333"/>
                <w:kern w:val="0"/>
                <w:sz w:val="24"/>
                <w:szCs w:val="24"/>
              </w:rPr>
              <w:t>。</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3.</w:t>
            </w:r>
            <w:r w:rsidRPr="004E1571">
              <w:rPr>
                <w:color w:val="000000"/>
                <w:kern w:val="0"/>
                <w:sz w:val="24"/>
                <w:szCs w:val="24"/>
              </w:rPr>
              <w:t>学科支撑</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学科支撑</w:t>
            </w:r>
          </w:p>
        </w:tc>
        <w:tc>
          <w:tcPr>
            <w:tcW w:w="6125" w:type="dxa"/>
            <w:shd w:val="clear" w:color="auto" w:fill="auto"/>
            <w:noWrap/>
            <w:vAlign w:val="center"/>
            <w:hideMark/>
          </w:tcPr>
          <w:p w:rsidR="003F3312" w:rsidRPr="004E1571" w:rsidRDefault="003F3312" w:rsidP="00163AAC">
            <w:pPr>
              <w:widowControl/>
              <w:adjustRightInd w:val="0"/>
              <w:snapToGrid w:val="0"/>
              <w:jc w:val="left"/>
              <w:rPr>
                <w:color w:val="000000"/>
                <w:kern w:val="0"/>
                <w:sz w:val="24"/>
                <w:szCs w:val="24"/>
              </w:rPr>
            </w:pPr>
            <w:r w:rsidRPr="004E1571">
              <w:rPr>
                <w:color w:val="000000"/>
                <w:kern w:val="0"/>
                <w:sz w:val="24"/>
                <w:szCs w:val="24"/>
              </w:rPr>
              <w:t>博士与硕士学位点数，省部级以上重点学科、重点实验室及学科基地数；</w:t>
            </w:r>
            <w:r w:rsidR="00163AAC" w:rsidRPr="004E1571">
              <w:rPr>
                <w:color w:val="000000"/>
                <w:kern w:val="0"/>
                <w:sz w:val="24"/>
                <w:szCs w:val="24"/>
              </w:rPr>
              <w:t>相关学科近</w:t>
            </w:r>
            <w:r w:rsidR="00731C03" w:rsidRPr="004E1571">
              <w:rPr>
                <w:rFonts w:hint="eastAsia"/>
                <w:color w:val="000000"/>
                <w:kern w:val="0"/>
                <w:sz w:val="24"/>
                <w:szCs w:val="24"/>
              </w:rPr>
              <w:t>年</w:t>
            </w:r>
            <w:r w:rsidR="00731C03" w:rsidRPr="004E1571">
              <w:rPr>
                <w:color w:val="000000"/>
                <w:kern w:val="0"/>
                <w:sz w:val="24"/>
                <w:szCs w:val="24"/>
              </w:rPr>
              <w:t>在</w:t>
            </w:r>
            <w:r w:rsidRPr="004E1571">
              <w:rPr>
                <w:rFonts w:hint="eastAsia"/>
                <w:color w:val="000000"/>
                <w:kern w:val="0"/>
                <w:sz w:val="24"/>
                <w:szCs w:val="24"/>
              </w:rPr>
              <w:t>教育部学位学科评估</w:t>
            </w:r>
            <w:r w:rsidR="00731C03" w:rsidRPr="004E1571">
              <w:rPr>
                <w:color w:val="000000"/>
                <w:kern w:val="0"/>
                <w:sz w:val="24"/>
                <w:szCs w:val="24"/>
              </w:rPr>
              <w:t>中的</w:t>
            </w:r>
            <w:r w:rsidRPr="004E1571">
              <w:rPr>
                <w:rFonts w:hint="eastAsia"/>
                <w:color w:val="000000"/>
                <w:kern w:val="0"/>
                <w:sz w:val="24"/>
                <w:szCs w:val="24"/>
              </w:rPr>
              <w:t>排名</w:t>
            </w:r>
            <w:r w:rsidR="00163AAC" w:rsidRPr="004E1571">
              <w:rPr>
                <w:color w:val="000000"/>
                <w:kern w:val="0"/>
                <w:sz w:val="24"/>
                <w:szCs w:val="24"/>
              </w:rPr>
              <w:t>情况</w:t>
            </w:r>
            <w:r w:rsidRPr="004E1571">
              <w:rPr>
                <w:color w:val="000000"/>
                <w:kern w:val="0"/>
                <w:sz w:val="24"/>
                <w:szCs w:val="24"/>
              </w:rPr>
              <w:t>。</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教学研究</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省部级以上教改立项数目与经费、省部级以上教学成果奖数目等。</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科学研究</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科研项目承担数及资助经费额；出版专著、译著、核心期刊的论文发表情况；科研获奖与专利数目；国内外学科带头人分布和从事的相关社会服务工作。</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4.</w:t>
            </w:r>
            <w:r w:rsidRPr="004E1571">
              <w:rPr>
                <w:color w:val="000000"/>
                <w:kern w:val="0"/>
                <w:sz w:val="24"/>
                <w:szCs w:val="24"/>
              </w:rPr>
              <w:t>教学资源与利用</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实验室或实训</w:t>
            </w:r>
          </w:p>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实习基地</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专业实验室或实训场地生均面积；设备与仪器总值和</w:t>
            </w:r>
            <w:r w:rsidRPr="004E1571">
              <w:rPr>
                <w:color w:val="000000"/>
                <w:kern w:val="0"/>
                <w:sz w:val="24"/>
                <w:szCs w:val="24"/>
              </w:rPr>
              <w:t>/</w:t>
            </w:r>
            <w:r w:rsidRPr="004E1571">
              <w:rPr>
                <w:color w:val="000000"/>
                <w:kern w:val="0"/>
                <w:sz w:val="24"/>
                <w:szCs w:val="24"/>
              </w:rPr>
              <w:t>或校内外实习基地数。</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资源利用与共享</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实验室的年均开放课时数、供其他专业共享的专业实验室数目；专业图书总量与生均数、专业期刊的总数等。</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5.</w:t>
            </w:r>
            <w:r w:rsidRPr="004E1571">
              <w:rPr>
                <w:color w:val="000000"/>
                <w:kern w:val="0"/>
                <w:sz w:val="24"/>
                <w:szCs w:val="24"/>
              </w:rPr>
              <w:t>专业教学基本建设</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课程建设</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省部级以上精品（含精品开放</w:t>
            </w:r>
            <w:r w:rsidR="00163AAC" w:rsidRPr="004E1571">
              <w:rPr>
                <w:color w:val="000000"/>
                <w:kern w:val="0"/>
                <w:sz w:val="24"/>
                <w:szCs w:val="24"/>
              </w:rPr>
              <w:t>课程</w:t>
            </w:r>
            <w:r w:rsidRPr="004E1571">
              <w:rPr>
                <w:color w:val="000000"/>
                <w:kern w:val="0"/>
                <w:sz w:val="24"/>
                <w:szCs w:val="24"/>
              </w:rPr>
              <w:t>、双语</w:t>
            </w:r>
            <w:r w:rsidR="00163AAC" w:rsidRPr="004E1571">
              <w:rPr>
                <w:color w:val="000000"/>
                <w:kern w:val="0"/>
                <w:sz w:val="24"/>
                <w:szCs w:val="24"/>
              </w:rPr>
              <w:t>课程</w:t>
            </w:r>
            <w:r w:rsidRPr="004E1571">
              <w:rPr>
                <w:color w:val="000000"/>
                <w:kern w:val="0"/>
                <w:sz w:val="24"/>
                <w:szCs w:val="24"/>
              </w:rPr>
              <w:t>）等建设数。</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教材建设</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教材的选优、选新率，专业教师主编、出版、获得立项的重点</w:t>
            </w:r>
            <w:r w:rsidRPr="004E1571">
              <w:rPr>
                <w:color w:val="000000"/>
                <w:kern w:val="0"/>
                <w:sz w:val="24"/>
                <w:szCs w:val="24"/>
              </w:rPr>
              <w:t>/</w:t>
            </w:r>
            <w:r w:rsidRPr="004E1571">
              <w:rPr>
                <w:color w:val="000000"/>
                <w:kern w:val="0"/>
                <w:sz w:val="24"/>
                <w:szCs w:val="24"/>
              </w:rPr>
              <w:t>规划教材，精品教材建设情况。</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实践教学基地建设</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综合性、设计性实验开出率，实习活动的计划、指导情况，近年毕业论文与科研课题结合比例。</w:t>
            </w:r>
          </w:p>
        </w:tc>
      </w:tr>
      <w:tr w:rsidR="004E1571" w:rsidRPr="004E1571" w:rsidTr="004E1571">
        <w:trPr>
          <w:cantSplit/>
          <w:trHeight w:val="510"/>
          <w:jc w:val="center"/>
        </w:trPr>
        <w:tc>
          <w:tcPr>
            <w:tcW w:w="1418" w:type="dxa"/>
            <w:vMerge w:val="restart"/>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lastRenderedPageBreak/>
              <w:t>6.</w:t>
            </w:r>
            <w:r w:rsidRPr="004E1571">
              <w:rPr>
                <w:color w:val="000000"/>
                <w:kern w:val="0"/>
                <w:sz w:val="24"/>
                <w:szCs w:val="24"/>
              </w:rPr>
              <w:t>教学运行与质量</w:t>
            </w:r>
          </w:p>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管理</w:t>
            </w:r>
          </w:p>
        </w:tc>
        <w:tc>
          <w:tcPr>
            <w:tcW w:w="2267" w:type="dxa"/>
            <w:shd w:val="clear" w:color="auto" w:fill="auto"/>
            <w:noWrap/>
            <w:vAlign w:val="center"/>
            <w:hideMark/>
          </w:tcPr>
          <w:p w:rsidR="003F3312" w:rsidRPr="004E1571" w:rsidRDefault="003F3312" w:rsidP="00311145">
            <w:pPr>
              <w:adjustRightInd w:val="0"/>
              <w:snapToGrid w:val="0"/>
              <w:jc w:val="center"/>
              <w:rPr>
                <w:color w:val="000000"/>
                <w:kern w:val="0"/>
                <w:sz w:val="24"/>
                <w:szCs w:val="24"/>
              </w:rPr>
            </w:pPr>
            <w:r w:rsidRPr="004E1571">
              <w:rPr>
                <w:color w:val="000000"/>
                <w:kern w:val="0"/>
                <w:sz w:val="24"/>
                <w:szCs w:val="24"/>
              </w:rPr>
              <w:t>制度建设与执行</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含</w:t>
            </w:r>
            <w:r w:rsidRPr="004E1571">
              <w:rPr>
                <w:color w:val="333333"/>
                <w:kern w:val="0"/>
                <w:sz w:val="24"/>
                <w:szCs w:val="24"/>
              </w:rPr>
              <w:t>教学运行管理职责、流程、制度等文件、</w:t>
            </w:r>
            <w:r w:rsidRPr="004E1571">
              <w:rPr>
                <w:color w:val="000000"/>
                <w:kern w:val="0"/>
                <w:sz w:val="24"/>
                <w:szCs w:val="24"/>
              </w:rPr>
              <w:t>档案</w:t>
            </w:r>
            <w:r w:rsidRPr="004E1571">
              <w:rPr>
                <w:color w:val="333333"/>
                <w:kern w:val="0"/>
                <w:sz w:val="24"/>
                <w:szCs w:val="24"/>
              </w:rPr>
              <w:t>的建设情况；教学制度的执行情况</w:t>
            </w:r>
            <w:r w:rsidRPr="004E1571">
              <w:rPr>
                <w:color w:val="000000"/>
                <w:kern w:val="0"/>
                <w:sz w:val="24"/>
                <w:szCs w:val="24"/>
              </w:rPr>
              <w:t>。</w:t>
            </w:r>
          </w:p>
        </w:tc>
      </w:tr>
      <w:tr w:rsidR="004E1571" w:rsidRPr="004E1571" w:rsidTr="004E1571">
        <w:trPr>
          <w:cantSplit/>
          <w:trHeight w:val="510"/>
          <w:jc w:val="center"/>
        </w:trPr>
        <w:tc>
          <w:tcPr>
            <w:tcW w:w="1418" w:type="dxa"/>
            <w:vMerge/>
            <w:vAlign w:val="center"/>
          </w:tcPr>
          <w:p w:rsidR="004C212C" w:rsidRPr="004E1571" w:rsidRDefault="004C212C" w:rsidP="00311145">
            <w:pPr>
              <w:widowControl/>
              <w:adjustRightInd w:val="0"/>
              <w:snapToGrid w:val="0"/>
              <w:jc w:val="center"/>
              <w:rPr>
                <w:color w:val="000000"/>
                <w:kern w:val="0"/>
                <w:sz w:val="24"/>
                <w:szCs w:val="24"/>
              </w:rPr>
            </w:pPr>
          </w:p>
        </w:tc>
        <w:tc>
          <w:tcPr>
            <w:tcW w:w="2267" w:type="dxa"/>
            <w:shd w:val="clear" w:color="auto" w:fill="auto"/>
            <w:noWrap/>
            <w:vAlign w:val="center"/>
          </w:tcPr>
          <w:p w:rsidR="004C212C" w:rsidRPr="004E1571" w:rsidRDefault="004C212C" w:rsidP="004C212C">
            <w:pPr>
              <w:adjustRightInd w:val="0"/>
              <w:snapToGrid w:val="0"/>
              <w:jc w:val="center"/>
              <w:rPr>
                <w:color w:val="000000"/>
                <w:kern w:val="0"/>
                <w:sz w:val="24"/>
                <w:szCs w:val="24"/>
              </w:rPr>
            </w:pPr>
            <w:r w:rsidRPr="004E1571">
              <w:rPr>
                <w:color w:val="000000"/>
                <w:kern w:val="0"/>
                <w:sz w:val="24"/>
                <w:szCs w:val="24"/>
              </w:rPr>
              <w:t>培养方案和课程实施</w:t>
            </w:r>
          </w:p>
        </w:tc>
        <w:tc>
          <w:tcPr>
            <w:tcW w:w="6125" w:type="dxa"/>
            <w:shd w:val="clear" w:color="auto" w:fill="auto"/>
            <w:noWrap/>
            <w:vAlign w:val="center"/>
          </w:tcPr>
          <w:p w:rsidR="004C212C" w:rsidRPr="004E1571" w:rsidRDefault="004C212C" w:rsidP="00311145">
            <w:pPr>
              <w:widowControl/>
              <w:adjustRightInd w:val="0"/>
              <w:snapToGrid w:val="0"/>
              <w:jc w:val="left"/>
              <w:rPr>
                <w:color w:val="000000"/>
                <w:kern w:val="0"/>
                <w:sz w:val="24"/>
                <w:szCs w:val="24"/>
              </w:rPr>
            </w:pPr>
            <w:r w:rsidRPr="004E1571">
              <w:rPr>
                <w:color w:val="000000"/>
                <w:kern w:val="0"/>
                <w:sz w:val="24"/>
                <w:szCs w:val="24"/>
              </w:rPr>
              <w:t>按培养方案执行的情况</w:t>
            </w:r>
            <w:r w:rsidRPr="004E1571">
              <w:rPr>
                <w:rFonts w:hint="eastAsia"/>
                <w:color w:val="000000"/>
                <w:kern w:val="0"/>
                <w:sz w:val="24"/>
                <w:szCs w:val="24"/>
              </w:rPr>
              <w:t>，</w:t>
            </w:r>
            <w:r w:rsidRPr="004E1571">
              <w:rPr>
                <w:color w:val="000000"/>
                <w:kern w:val="0"/>
                <w:sz w:val="24"/>
                <w:szCs w:val="24"/>
              </w:rPr>
              <w:t>调停课率等</w:t>
            </w:r>
            <w:r w:rsidRPr="004E1571">
              <w:rPr>
                <w:rFonts w:hint="eastAsia"/>
                <w:color w:val="000000"/>
                <w:kern w:val="0"/>
                <w:sz w:val="24"/>
                <w:szCs w:val="24"/>
              </w:rPr>
              <w:t>。</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教学质量监控</w:t>
            </w:r>
          </w:p>
        </w:tc>
        <w:tc>
          <w:tcPr>
            <w:tcW w:w="6125" w:type="dxa"/>
            <w:shd w:val="clear" w:color="auto" w:fill="auto"/>
            <w:noWrap/>
            <w:hideMark/>
          </w:tcPr>
          <w:p w:rsidR="003F3312" w:rsidRPr="004E1571" w:rsidRDefault="003F3312" w:rsidP="00311145">
            <w:pPr>
              <w:widowControl/>
              <w:adjustRightInd w:val="0"/>
              <w:snapToGrid w:val="0"/>
              <w:jc w:val="left"/>
              <w:rPr>
                <w:color w:val="000000"/>
                <w:kern w:val="0"/>
                <w:sz w:val="24"/>
                <w:szCs w:val="24"/>
              </w:rPr>
            </w:pPr>
            <w:r w:rsidRPr="004E1571">
              <w:rPr>
                <w:color w:val="333333"/>
                <w:kern w:val="0"/>
                <w:sz w:val="24"/>
                <w:szCs w:val="24"/>
              </w:rPr>
              <w:t>专业课程教学过程中各环节的质量监控措施；毕业论文（设计）质量监控措施；专业质量评估与认证的情况。</w:t>
            </w:r>
          </w:p>
        </w:tc>
      </w:tr>
      <w:tr w:rsidR="004E1571" w:rsidRPr="004E1571" w:rsidTr="004E1571">
        <w:trPr>
          <w:cantSplit/>
          <w:trHeight w:val="510"/>
          <w:jc w:val="center"/>
        </w:trPr>
        <w:tc>
          <w:tcPr>
            <w:tcW w:w="1418" w:type="dxa"/>
            <w:vMerge w:val="restart"/>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7.</w:t>
            </w:r>
            <w:r w:rsidRPr="004E1571">
              <w:rPr>
                <w:color w:val="000000"/>
                <w:kern w:val="0"/>
                <w:sz w:val="24"/>
                <w:szCs w:val="24"/>
              </w:rPr>
              <w:t>人才培养质量</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毕业生水平</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近三年本专业本科生相关专业技能资格水平考试优秀率与合格率、就业率、国内外高水平大学升学率。</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学生综合素质</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近三年本专业学生参加各类学科竞赛、科技创新、课外科研活动与文化活动参与及获奖情况、公开发表论文和获得国家专利数；日常违规比例与人次。</w:t>
            </w:r>
          </w:p>
        </w:tc>
      </w:tr>
      <w:tr w:rsidR="004E1571" w:rsidRPr="004E1571" w:rsidTr="004E1571">
        <w:trPr>
          <w:cantSplit/>
          <w:trHeight w:val="510"/>
          <w:jc w:val="center"/>
        </w:trPr>
        <w:tc>
          <w:tcPr>
            <w:tcW w:w="1418" w:type="dxa"/>
            <w:vMerge/>
            <w:vAlign w:val="center"/>
            <w:hideMark/>
          </w:tcPr>
          <w:p w:rsidR="003F3312" w:rsidRPr="004E1571" w:rsidRDefault="003F3312" w:rsidP="00311145">
            <w:pPr>
              <w:widowControl/>
              <w:adjustRightInd w:val="0"/>
              <w:snapToGrid w:val="0"/>
              <w:jc w:val="left"/>
              <w:rPr>
                <w:color w:val="000000"/>
                <w:kern w:val="0"/>
                <w:sz w:val="24"/>
                <w:szCs w:val="24"/>
              </w:rPr>
            </w:pP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专业声誉</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生源方面，高考第一志愿录取率、实际报到率、录取分数与校平均线差值；毕业生方面，用人单位对毕业生的满意度。</w:t>
            </w:r>
          </w:p>
        </w:tc>
      </w:tr>
      <w:tr w:rsidR="004E1571" w:rsidRPr="004E1571" w:rsidTr="004E1571">
        <w:trPr>
          <w:cantSplit/>
          <w:trHeight w:val="510"/>
          <w:jc w:val="center"/>
        </w:trPr>
        <w:tc>
          <w:tcPr>
            <w:tcW w:w="1418" w:type="dxa"/>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8.</w:t>
            </w:r>
            <w:r w:rsidRPr="004E1571">
              <w:rPr>
                <w:color w:val="000000"/>
                <w:kern w:val="0"/>
                <w:sz w:val="24"/>
                <w:szCs w:val="24"/>
              </w:rPr>
              <w:t>整体水平和特色</w:t>
            </w:r>
          </w:p>
        </w:tc>
        <w:tc>
          <w:tcPr>
            <w:tcW w:w="2267" w:type="dxa"/>
            <w:shd w:val="clear" w:color="auto" w:fill="auto"/>
            <w:noWrap/>
            <w:vAlign w:val="center"/>
            <w:hideMark/>
          </w:tcPr>
          <w:p w:rsidR="003F3312" w:rsidRPr="004E1571" w:rsidRDefault="003F3312" w:rsidP="00311145">
            <w:pPr>
              <w:widowControl/>
              <w:adjustRightInd w:val="0"/>
              <w:snapToGrid w:val="0"/>
              <w:jc w:val="center"/>
              <w:rPr>
                <w:color w:val="000000"/>
                <w:kern w:val="0"/>
                <w:sz w:val="24"/>
                <w:szCs w:val="24"/>
              </w:rPr>
            </w:pPr>
            <w:r w:rsidRPr="004E1571">
              <w:rPr>
                <w:color w:val="000000"/>
                <w:kern w:val="0"/>
                <w:sz w:val="24"/>
                <w:szCs w:val="24"/>
              </w:rPr>
              <w:t>专业办学特色</w:t>
            </w:r>
          </w:p>
        </w:tc>
        <w:tc>
          <w:tcPr>
            <w:tcW w:w="6125" w:type="dxa"/>
            <w:shd w:val="clear" w:color="auto" w:fill="auto"/>
            <w:noWrap/>
            <w:vAlign w:val="center"/>
            <w:hideMark/>
          </w:tcPr>
          <w:p w:rsidR="003F3312" w:rsidRPr="004E1571" w:rsidRDefault="003F3312" w:rsidP="00311145">
            <w:pPr>
              <w:widowControl/>
              <w:adjustRightInd w:val="0"/>
              <w:snapToGrid w:val="0"/>
              <w:jc w:val="left"/>
              <w:rPr>
                <w:color w:val="000000"/>
                <w:kern w:val="0"/>
                <w:sz w:val="24"/>
                <w:szCs w:val="24"/>
              </w:rPr>
            </w:pPr>
            <w:r w:rsidRPr="004E1571">
              <w:rPr>
                <w:color w:val="000000"/>
                <w:kern w:val="0"/>
                <w:sz w:val="24"/>
                <w:szCs w:val="24"/>
              </w:rPr>
              <w:t>与国内、国（境）外一流大学同类学科专业的本科教育相比，在人才培养的目标、模式、课程体系、教学方法、专业建设、教学管理与质量保障等的优势与特色。</w:t>
            </w:r>
          </w:p>
        </w:tc>
      </w:tr>
    </w:tbl>
    <w:p w:rsidR="00D55E73" w:rsidRPr="00311145" w:rsidRDefault="00137B2C" w:rsidP="00163AAC"/>
    <w:sectPr w:rsidR="00D55E73" w:rsidRPr="00311145" w:rsidSect="004E1571">
      <w:footerReference w:type="default" r:id="rId7"/>
      <w:pgSz w:w="11906" w:h="16838"/>
      <w:pgMar w:top="2098"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089" w:rsidRDefault="00687089" w:rsidP="00C55327">
      <w:r>
        <w:separator/>
      </w:r>
    </w:p>
  </w:endnote>
  <w:endnote w:type="continuationSeparator" w:id="0">
    <w:p w:rsidR="00687089" w:rsidRDefault="00687089" w:rsidP="00C553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JhengHei Light"/>
    <w:panose1 w:val="02010601030101010101"/>
    <w:charset w:val="86"/>
    <w:family w:val="script"/>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35B" w:rsidRDefault="007E0FA7">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290.8pt;margin-top:245.9pt;width:4.55pt;height:10.3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" filled="f" stroked="f">
          <v:textbox style="mso-fit-shape-to-text:t" inset="0,0,0,0">
            <w:txbxContent>
              <w:p w:rsidR="008F735B" w:rsidRDefault="003F3312">
                <w:pPr>
                  <w:snapToGrid w:val="0"/>
                  <w:rPr>
                    <w:sz w:val="18"/>
                  </w:rPr>
                </w:pPr>
                <w:r>
                  <w:rPr>
                    <w:rFonts w:hint="eastAsia"/>
                    <w:sz w:val="18"/>
                  </w:rPr>
                  <w:t>7</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089" w:rsidRDefault="00687089" w:rsidP="00C55327">
      <w:r>
        <w:separator/>
      </w:r>
    </w:p>
  </w:footnote>
  <w:footnote w:type="continuationSeparator" w:id="0">
    <w:p w:rsidR="00687089" w:rsidRDefault="00687089" w:rsidP="00C5532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黎贞安">
    <w15:presenceInfo w15:providerId="None" w15:userId="黎贞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CD5"/>
    <w:rsid w:val="00095ED3"/>
    <w:rsid w:val="00137B2C"/>
    <w:rsid w:val="00163AAC"/>
    <w:rsid w:val="00311145"/>
    <w:rsid w:val="003F3312"/>
    <w:rsid w:val="004C212C"/>
    <w:rsid w:val="004E081E"/>
    <w:rsid w:val="004E1571"/>
    <w:rsid w:val="006451D0"/>
    <w:rsid w:val="00687089"/>
    <w:rsid w:val="00701839"/>
    <w:rsid w:val="00731C03"/>
    <w:rsid w:val="007E0FA7"/>
    <w:rsid w:val="00B338CF"/>
    <w:rsid w:val="00C55327"/>
    <w:rsid w:val="00CE3C4A"/>
    <w:rsid w:val="00CF78E4"/>
    <w:rsid w:val="00D4123B"/>
    <w:rsid w:val="00D56CD5"/>
    <w:rsid w:val="00DB5E2A"/>
    <w:rsid w:val="00FD5DBC"/>
    <w:rsid w:val="00FD7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31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3F3312"/>
    <w:rPr>
      <w:sz w:val="18"/>
      <w:szCs w:val="18"/>
    </w:rPr>
  </w:style>
  <w:style w:type="paragraph" w:styleId="a3">
    <w:name w:val="footer"/>
    <w:basedOn w:val="a"/>
    <w:link w:val="Char"/>
    <w:unhideWhenUsed/>
    <w:rsid w:val="003F33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F3312"/>
    <w:rPr>
      <w:rFonts w:ascii="Times New Roman" w:eastAsia="宋体" w:hAnsi="Times New Roman" w:cs="Times New Roman"/>
      <w:sz w:val="18"/>
      <w:szCs w:val="18"/>
    </w:rPr>
  </w:style>
  <w:style w:type="paragraph" w:styleId="a4">
    <w:name w:val="header"/>
    <w:basedOn w:val="a"/>
    <w:link w:val="Char0"/>
    <w:uiPriority w:val="99"/>
    <w:unhideWhenUsed/>
    <w:rsid w:val="004E08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081E"/>
    <w:rPr>
      <w:rFonts w:ascii="Times New Roman" w:eastAsia="宋体" w:hAnsi="Times New Roman" w:cs="Times New Roman"/>
      <w:sz w:val="18"/>
      <w:szCs w:val="18"/>
    </w:rPr>
  </w:style>
  <w:style w:type="paragraph" w:styleId="a5">
    <w:name w:val="Balloon Text"/>
    <w:basedOn w:val="a"/>
    <w:link w:val="Char2"/>
    <w:uiPriority w:val="99"/>
    <w:semiHidden/>
    <w:unhideWhenUsed/>
    <w:rsid w:val="00311145"/>
    <w:rPr>
      <w:sz w:val="18"/>
      <w:szCs w:val="18"/>
    </w:rPr>
  </w:style>
  <w:style w:type="character" w:customStyle="1" w:styleId="Char2">
    <w:name w:val="批注框文本 Char"/>
    <w:basedOn w:val="a0"/>
    <w:link w:val="a5"/>
    <w:uiPriority w:val="99"/>
    <w:semiHidden/>
    <w:rsid w:val="0031114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1EED-902E-44B8-8B08-DD7B59F9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0</DocSecurity>
  <Lines>9</Lines>
  <Paragraphs>2</Paragraphs>
  <ScaleCrop>false</ScaleCrop>
  <Company>http://sdwm.org</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黎贞安</dc:creator>
  <cp:lastModifiedBy>Windows 用户</cp:lastModifiedBy>
  <cp:revision>2</cp:revision>
  <dcterms:created xsi:type="dcterms:W3CDTF">2017-03-10T03:15:00Z</dcterms:created>
  <dcterms:modified xsi:type="dcterms:W3CDTF">2017-03-10T03:15:00Z</dcterms:modified>
</cp:coreProperties>
</file>