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2017届本科生拟录取研究生情况统计表 </w:t>
      </w:r>
    </w:p>
    <w:p>
      <w:pPr>
        <w:rPr>
          <w:rFonts w:ascii="Times New Roman" w:hAnsi="Times New Roman"/>
          <w:color w:val="000000"/>
          <w:kern w:val="0"/>
          <w:sz w:val="22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</w:p>
    <w:tbl>
      <w:tblPr>
        <w:tblStyle w:val="5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8"/>
        <w:gridCol w:w="165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32"/>
                <w:szCs w:val="32"/>
              </w:rPr>
              <w:t>院系名称：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2017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届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本科毕业生人数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（不含港澳台及留学生）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2017届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已保研人数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届报考研究生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2017届考研成功人数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届有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留学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意向人数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届已获留学录取通知人数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目前确定的升学留学总人数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</w:rPr>
              <w:t>目前确定的升学留学率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566"/>
    <w:rsid w:val="00017E50"/>
    <w:rsid w:val="000F1257"/>
    <w:rsid w:val="001956C5"/>
    <w:rsid w:val="001E2DBF"/>
    <w:rsid w:val="003B0054"/>
    <w:rsid w:val="00472BAC"/>
    <w:rsid w:val="005900EC"/>
    <w:rsid w:val="005A5942"/>
    <w:rsid w:val="0074272E"/>
    <w:rsid w:val="007C0215"/>
    <w:rsid w:val="008767A0"/>
    <w:rsid w:val="009F27D4"/>
    <w:rsid w:val="00AC0466"/>
    <w:rsid w:val="00AE6224"/>
    <w:rsid w:val="00B72566"/>
    <w:rsid w:val="00B85B47"/>
    <w:rsid w:val="00D05263"/>
    <w:rsid w:val="00E27175"/>
    <w:rsid w:val="00EF0C98"/>
    <w:rsid w:val="00FB5012"/>
    <w:rsid w:val="439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ScaleCrop>false</ScaleCrop>
  <LinksUpToDate>false</LinksUpToDate>
  <CharactersWithSpaces>161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2017-04-06T01:37:00Z</dcterms:created>
  <dc:creator>career-LIU</dc:creator>
  <cp:lastModifiedBy>career-LIU</cp:lastModifiedBy>
  <dcterms:modified xsi:type="dcterms:W3CDTF">2017-04-14T09:00:11Z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