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b/>
          <w:sz w:val="28"/>
          <w:szCs w:val="28"/>
        </w:rPr>
      </w:pPr>
      <w:r>
        <w:rPr>
          <w:rFonts w:hint="eastAsia" w:ascii="Times New Roman" w:hAnsi="Times New Roman"/>
          <w:b/>
          <w:sz w:val="28"/>
          <w:szCs w:val="28"/>
          <w:lang w:val="en-US" w:eastAsia="zh-CN"/>
        </w:rPr>
        <w:t>大气科学</w:t>
      </w:r>
      <w:r>
        <w:rPr>
          <w:rFonts w:ascii="Times New Roman" w:hAnsi="Times New Roman"/>
          <w:b/>
          <w:sz w:val="28"/>
          <w:szCs w:val="28"/>
        </w:rPr>
        <w:t>学院</w:t>
      </w:r>
      <w:r>
        <w:rPr>
          <w:rFonts w:hint="eastAsia" w:ascii="Times New Roman" w:hAnsi="Times New Roman"/>
          <w:b/>
          <w:sz w:val="28"/>
          <w:szCs w:val="28"/>
          <w:lang w:val="en-US" w:eastAsia="zh-CN"/>
        </w:rPr>
        <w:t>2018-2019学年</w:t>
      </w:r>
      <w:r>
        <w:rPr>
          <w:rFonts w:ascii="Times New Roman" w:hAnsi="Times New Roman"/>
          <w:b/>
          <w:sz w:val="28"/>
          <w:szCs w:val="28"/>
        </w:rPr>
        <w:t>专项奖学金</w:t>
      </w:r>
      <w:r>
        <w:rPr>
          <w:rFonts w:hint="eastAsia" w:ascii="Times New Roman" w:hAnsi="Times New Roman"/>
          <w:b/>
          <w:sz w:val="28"/>
          <w:szCs w:val="28"/>
        </w:rPr>
        <w:t>评选</w:t>
      </w:r>
      <w:r>
        <w:rPr>
          <w:rFonts w:ascii="Times New Roman" w:hAnsi="Times New Roman"/>
          <w:b/>
          <w:sz w:val="28"/>
          <w:szCs w:val="28"/>
        </w:rPr>
        <w:t>办法</w:t>
      </w:r>
    </w:p>
    <w:p>
      <w:pPr>
        <w:jc w:val="both"/>
        <w:rPr>
          <w:rFonts w:hint="eastAsia" w:ascii="Times New Roman" w:hAnsi="Times New Roman"/>
          <w:b w:val="0"/>
          <w:bCs/>
          <w:color w:val="FF0000"/>
          <w:sz w:val="24"/>
          <w:szCs w:val="24"/>
          <w:lang w:val="en-US" w:eastAsia="zh-CN"/>
        </w:rPr>
      </w:pPr>
      <w:bookmarkStart w:id="0" w:name="_GoBack"/>
      <w:bookmarkEnd w:id="0"/>
    </w:p>
    <w:p>
      <w:pPr>
        <w:pStyle w:val="2"/>
        <w:widowControl/>
        <w:spacing w:before="0" w:beforeAutospacing="0" w:after="0" w:afterAutospacing="0" w:line="360" w:lineRule="auto"/>
        <w:ind w:right="0" w:firstLine="480" w:firstLineChars="200"/>
        <w:jc w:val="left"/>
        <w:rPr>
          <w:rFonts w:hint="eastAsia" w:ascii="宋体" w:hAnsi="宋体" w:cs="宋体"/>
          <w:sz w:val="24"/>
          <w:szCs w:val="24"/>
          <w:lang w:val="en-US" w:eastAsia="zh-CN" w:bidi="ar-SA"/>
        </w:rPr>
      </w:pPr>
      <w:r>
        <w:rPr>
          <w:rFonts w:hint="eastAsia" w:ascii="宋体" w:hAnsi="宋体" w:cs="宋体"/>
          <w:sz w:val="24"/>
          <w:szCs w:val="24"/>
          <w:lang w:val="en-US" w:eastAsia="zh-CN" w:bidi="ar-SA"/>
        </w:rPr>
        <w:t>为鼓励学生刻苦学习专业知识、积极参加社会实践，努力成长为全面发展的优秀人才，根据《中山大学本科生奖学金管理办法》与《大气科学学院本科生综合测评实施方法》，结合我院实际情况，特制订《大气科学学院2018-2019学年专项奖学金评选办法》如下：</w:t>
      </w:r>
    </w:p>
    <w:p>
      <w:pPr>
        <w:jc w:val="both"/>
        <w:rPr>
          <w:rFonts w:hint="eastAsia" w:ascii="Times New Roman" w:hAnsi="Times New Roman"/>
          <w:b/>
          <w:color w:val="FF0000"/>
          <w:sz w:val="24"/>
          <w:szCs w:val="24"/>
          <w:lang w:val="en-US" w:eastAsia="zh-CN"/>
        </w:rPr>
      </w:pPr>
    </w:p>
    <w:p>
      <w:pPr>
        <w:jc w:val="both"/>
        <w:rPr>
          <w:rFonts w:hint="eastAsia" w:ascii="Times New Roman" w:hAnsi="Times New Roman"/>
          <w:b/>
          <w:color w:val="FF0000"/>
          <w:sz w:val="24"/>
          <w:szCs w:val="24"/>
          <w:lang w:val="en-US" w:eastAsia="zh-CN"/>
        </w:rPr>
      </w:pPr>
    </w:p>
    <w:p>
      <w:pPr>
        <w:keepNext w:val="0"/>
        <w:keepLines w:val="0"/>
        <w:widowControl/>
        <w:numPr>
          <w:ilvl w:val="0"/>
          <w:numId w:val="1"/>
        </w:numPr>
        <w:suppressLineNumbers w:val="0"/>
        <w:spacing w:before="0" w:beforeAutospacing="0" w:after="120" w:afterLines="50" w:afterAutospacing="0" w:line="18" w:lineRule="atLeast"/>
        <w:ind w:left="-168" w:right="-168"/>
        <w:jc w:val="left"/>
        <w:rPr>
          <w:rFonts w:hint="eastAsia" w:ascii="宋体" w:hAnsi="宋体" w:eastAsia="宋体" w:cs="宋体"/>
          <w:b/>
          <w:bCs/>
          <w:color w:val="3683AF"/>
          <w:kern w:val="0"/>
          <w:sz w:val="24"/>
          <w:szCs w:val="24"/>
          <w:lang w:val="en-US" w:eastAsia="zh-CN" w:bidi="ar-SA"/>
        </w:rPr>
      </w:pPr>
      <w:r>
        <w:rPr>
          <w:rFonts w:hint="eastAsia" w:ascii="宋体" w:hAnsi="宋体" w:eastAsia="宋体" w:cs="宋体"/>
          <w:b/>
          <w:bCs/>
          <w:color w:val="3683AF"/>
          <w:kern w:val="0"/>
          <w:sz w:val="24"/>
          <w:szCs w:val="24"/>
          <w:lang w:val="en-US" w:eastAsia="zh-CN" w:bidi="ar-SA"/>
        </w:rPr>
        <w:t>学术</w:t>
      </w:r>
      <w:r>
        <w:rPr>
          <w:rFonts w:hint="eastAsia" w:ascii="宋体" w:hAnsi="宋体" w:cs="宋体"/>
          <w:b/>
          <w:bCs/>
          <w:color w:val="3683AF"/>
          <w:kern w:val="0"/>
          <w:sz w:val="24"/>
          <w:szCs w:val="24"/>
          <w:lang w:val="en-US" w:eastAsia="zh-CN" w:bidi="ar-SA"/>
        </w:rPr>
        <w:t>科研</w:t>
      </w:r>
      <w:r>
        <w:rPr>
          <w:rFonts w:hint="eastAsia" w:ascii="宋体" w:hAnsi="宋体" w:eastAsia="宋体" w:cs="宋体"/>
          <w:b/>
          <w:bCs/>
          <w:color w:val="3683AF"/>
          <w:kern w:val="0"/>
          <w:sz w:val="24"/>
          <w:szCs w:val="24"/>
          <w:lang w:val="en-US" w:eastAsia="zh-CN" w:bidi="ar-SA"/>
        </w:rPr>
        <w:t>奖</w:t>
      </w:r>
      <w:r>
        <w:rPr>
          <w:rFonts w:hint="eastAsia" w:ascii="宋体" w:hAnsi="宋体" w:cs="宋体"/>
          <w:b/>
          <w:bCs/>
          <w:color w:val="3683AF"/>
          <w:kern w:val="0"/>
          <w:sz w:val="24"/>
          <w:szCs w:val="24"/>
          <w:lang w:val="en-US" w:eastAsia="zh-CN" w:bidi="ar-SA"/>
        </w:rPr>
        <w:t>（2000元/人，上限1人）</w:t>
      </w:r>
    </w:p>
    <w:p>
      <w:pPr>
        <w:pStyle w:val="2"/>
        <w:widowControl/>
        <w:spacing w:before="0" w:beforeAutospacing="0" w:after="0" w:afterAutospacing="0" w:line="360" w:lineRule="auto"/>
        <w:ind w:right="0" w:firstLine="480" w:firstLineChars="200"/>
        <w:jc w:val="left"/>
        <w:rPr>
          <w:rFonts w:ascii="宋体" w:hAnsi="宋体" w:cs="宋体"/>
          <w:sz w:val="24"/>
          <w:szCs w:val="24"/>
          <w:lang w:bidi="ar-SA"/>
        </w:rPr>
      </w:pPr>
      <w:r>
        <w:rPr>
          <w:rFonts w:hint="eastAsia" w:ascii="宋体" w:hAnsi="宋体" w:cs="宋体"/>
          <w:sz w:val="24"/>
          <w:szCs w:val="24"/>
          <w:lang w:val="en-US" w:eastAsia="zh-CN" w:bidi="ar-SA"/>
        </w:rPr>
        <w:t>用于奖励在专业领域的学术科研方面表现突出的本科生。参评者必须在评奖年度内获得至少一项其他奖学金，且综合测评总成绩在专业排名前50%。除此之外，参评还需满足以下条件之一：</w:t>
      </w:r>
    </w:p>
    <w:p>
      <w:pPr>
        <w:pStyle w:val="2"/>
        <w:widowControl/>
        <w:spacing w:before="0" w:beforeAutospacing="0" w:after="0" w:afterAutospacing="0" w:line="360" w:lineRule="auto"/>
        <w:ind w:left="0" w:right="0" w:firstLine="588" w:firstLineChars="245"/>
        <w:jc w:val="left"/>
        <w:rPr>
          <w:rFonts w:ascii="宋体" w:hAnsi="宋体" w:cs="宋体"/>
          <w:sz w:val="24"/>
          <w:szCs w:val="24"/>
          <w:lang w:bidi="ar-SA"/>
        </w:rPr>
      </w:pPr>
      <w:r>
        <w:rPr>
          <w:rFonts w:ascii="宋体" w:hAnsi="宋体" w:cs="宋体"/>
          <w:sz w:val="24"/>
          <w:szCs w:val="24"/>
          <w:lang w:val="en-US" w:eastAsia="zh-CN" w:bidi="ar-SA"/>
        </w:rPr>
        <w:t>1</w:t>
      </w:r>
      <w:r>
        <w:rPr>
          <w:rFonts w:hint="eastAsia" w:ascii="宋体" w:hAnsi="宋体" w:cs="宋体"/>
          <w:sz w:val="24"/>
          <w:szCs w:val="24"/>
          <w:lang w:val="en-US" w:eastAsia="zh-CN" w:bidi="ar-SA"/>
        </w:rPr>
        <w:t>、学术论文：以中山大学为第一署名单位在国内外公开出版的学术刊物上发表（含正式录用），或作为正式代表参加高水平学术会议并有论文被会议论文集全文收录，或论文摘要被大会论文集收录，或受邀在高水平学术会议上做报告；</w:t>
      </w:r>
    </w:p>
    <w:p>
      <w:pPr>
        <w:pStyle w:val="2"/>
        <w:widowControl/>
        <w:spacing w:before="0" w:beforeAutospacing="0" w:after="0" w:afterAutospacing="0" w:line="360" w:lineRule="auto"/>
        <w:ind w:left="0" w:right="0" w:firstLine="588" w:firstLineChars="245"/>
        <w:jc w:val="left"/>
        <w:rPr>
          <w:rFonts w:ascii="宋体" w:hAnsi="宋体" w:cs="宋体"/>
          <w:sz w:val="24"/>
          <w:szCs w:val="24"/>
          <w:lang w:bidi="ar-SA"/>
        </w:rPr>
      </w:pPr>
      <w:r>
        <w:rPr>
          <w:rFonts w:ascii="宋体" w:hAnsi="宋体" w:cs="宋体"/>
          <w:sz w:val="24"/>
          <w:szCs w:val="24"/>
          <w:lang w:val="en-US" w:eastAsia="zh-CN" w:bidi="ar-SA"/>
        </w:rPr>
        <w:t>2</w:t>
      </w:r>
      <w:r>
        <w:rPr>
          <w:rFonts w:hint="eastAsia" w:ascii="宋体" w:hAnsi="宋体" w:cs="宋体"/>
          <w:sz w:val="24"/>
          <w:szCs w:val="24"/>
          <w:lang w:val="en-US" w:eastAsia="zh-CN" w:bidi="ar-SA"/>
        </w:rPr>
        <w:t>、学术著作：参与撰写、编写或翻译学术著作；</w:t>
      </w:r>
    </w:p>
    <w:p>
      <w:pPr>
        <w:pStyle w:val="2"/>
        <w:widowControl/>
        <w:spacing w:before="0" w:beforeAutospacing="0" w:after="0" w:afterAutospacing="0" w:line="360" w:lineRule="auto"/>
        <w:ind w:left="0" w:right="0" w:firstLine="588" w:firstLineChars="245"/>
        <w:jc w:val="left"/>
        <w:rPr>
          <w:rFonts w:ascii="宋体" w:hAnsi="宋体" w:cs="宋体"/>
          <w:sz w:val="24"/>
          <w:szCs w:val="24"/>
          <w:lang w:bidi="ar-SA"/>
        </w:rPr>
      </w:pPr>
      <w:r>
        <w:rPr>
          <w:rFonts w:ascii="宋体" w:hAnsi="宋体" w:cs="宋体"/>
          <w:sz w:val="24"/>
          <w:szCs w:val="24"/>
          <w:lang w:val="en-US" w:eastAsia="zh-CN" w:bidi="ar-SA"/>
        </w:rPr>
        <w:t>3</w:t>
      </w:r>
      <w:r>
        <w:rPr>
          <w:rFonts w:hint="eastAsia" w:ascii="宋体" w:hAnsi="宋体" w:cs="宋体"/>
          <w:sz w:val="24"/>
          <w:szCs w:val="24"/>
          <w:lang w:val="en-US" w:eastAsia="zh-CN" w:bidi="ar-SA"/>
        </w:rPr>
        <w:t>、科技成果：参与已开展成果应用并有一定影响的应用性科技成果，要求为获得市级以上科技奖励，或获国家专利授权并已开展成果应用的科技成果；</w:t>
      </w:r>
    </w:p>
    <w:p>
      <w:pPr>
        <w:pStyle w:val="2"/>
        <w:widowControl/>
        <w:spacing w:before="0" w:beforeAutospacing="0" w:after="0" w:afterAutospacing="0" w:line="360" w:lineRule="auto"/>
        <w:ind w:left="0" w:right="0" w:firstLine="588" w:firstLineChars="245"/>
        <w:jc w:val="left"/>
        <w:rPr>
          <w:rFonts w:hint="eastAsia" w:ascii="宋体" w:hAnsi="宋体" w:cs="宋体"/>
          <w:sz w:val="24"/>
          <w:szCs w:val="24"/>
          <w:lang w:val="en-US" w:eastAsia="zh-CN" w:bidi="ar-SA"/>
        </w:rPr>
      </w:pPr>
      <w:r>
        <w:rPr>
          <w:rFonts w:hint="eastAsia" w:ascii="宋体" w:hAnsi="宋体" w:cs="宋体"/>
          <w:sz w:val="24"/>
          <w:szCs w:val="24"/>
          <w:lang w:val="en-US" w:eastAsia="zh-CN" w:bidi="ar-SA"/>
        </w:rPr>
        <w:t>4、参加科研项目：参与院级或校级及以上的科研项目。</w:t>
      </w:r>
    </w:p>
    <w:p>
      <w:pPr>
        <w:pStyle w:val="2"/>
        <w:widowControl/>
        <w:spacing w:before="0" w:beforeAutospacing="0" w:after="0" w:afterAutospacing="0" w:line="360" w:lineRule="auto"/>
        <w:ind w:right="0"/>
        <w:jc w:val="left"/>
        <w:rPr>
          <w:rFonts w:hint="eastAsia" w:ascii="宋体" w:hAnsi="宋体" w:eastAsia="宋体" w:cs="宋体"/>
          <w:b/>
          <w:bCs/>
          <w:color w:val="3683AF"/>
          <w:kern w:val="0"/>
          <w:sz w:val="24"/>
          <w:szCs w:val="24"/>
          <w:lang w:val="en-US" w:eastAsia="zh-CN" w:bidi="ar-SA"/>
        </w:rPr>
      </w:pPr>
    </w:p>
    <w:p>
      <w:pPr>
        <w:pStyle w:val="2"/>
        <w:widowControl/>
        <w:spacing w:before="0" w:beforeAutospacing="0" w:after="0" w:afterAutospacing="0" w:line="360" w:lineRule="auto"/>
        <w:ind w:right="0"/>
        <w:jc w:val="left"/>
        <w:rPr>
          <w:rFonts w:hint="eastAsia" w:ascii="宋体" w:hAnsi="宋体" w:eastAsia="宋体" w:cs="宋体"/>
          <w:b/>
          <w:bCs/>
          <w:color w:val="3683AF"/>
          <w:kern w:val="0"/>
          <w:sz w:val="24"/>
          <w:szCs w:val="24"/>
          <w:lang w:val="en-US" w:eastAsia="zh-CN" w:bidi="ar-SA"/>
        </w:rPr>
      </w:pPr>
      <w:r>
        <w:rPr>
          <w:rFonts w:hint="eastAsia" w:ascii="宋体" w:hAnsi="宋体" w:eastAsia="宋体" w:cs="宋体"/>
          <w:b/>
          <w:bCs/>
          <w:color w:val="3683AF"/>
          <w:kern w:val="0"/>
          <w:sz w:val="24"/>
          <w:szCs w:val="24"/>
          <w:lang w:val="en-US" w:eastAsia="zh-CN" w:bidi="ar-SA"/>
        </w:rPr>
        <w:t>（</w:t>
      </w:r>
      <w:r>
        <w:rPr>
          <w:rFonts w:hint="eastAsia" w:ascii="宋体" w:hAnsi="宋体" w:cs="宋体"/>
          <w:b/>
          <w:bCs/>
          <w:color w:val="3683AF"/>
          <w:kern w:val="0"/>
          <w:sz w:val="24"/>
          <w:szCs w:val="24"/>
          <w:lang w:val="en-US" w:eastAsia="zh-CN" w:bidi="ar-SA"/>
        </w:rPr>
        <w:t>2</w:t>
      </w:r>
      <w:r>
        <w:rPr>
          <w:rFonts w:hint="eastAsia" w:ascii="宋体" w:hAnsi="宋体" w:eastAsia="宋体" w:cs="宋体"/>
          <w:b/>
          <w:bCs/>
          <w:color w:val="3683AF"/>
          <w:kern w:val="0"/>
          <w:sz w:val="24"/>
          <w:szCs w:val="24"/>
          <w:lang w:val="en-US" w:eastAsia="zh-CN" w:bidi="ar-SA"/>
        </w:rPr>
        <w:t>）学科竞赛奖</w:t>
      </w:r>
      <w:r>
        <w:rPr>
          <w:rFonts w:hint="eastAsia" w:ascii="宋体" w:hAnsi="宋体" w:cs="宋体"/>
          <w:b/>
          <w:bCs/>
          <w:color w:val="3683AF"/>
          <w:kern w:val="0"/>
          <w:sz w:val="24"/>
          <w:szCs w:val="24"/>
          <w:lang w:val="en-US" w:eastAsia="zh-CN" w:bidi="ar-SA"/>
        </w:rPr>
        <w:t>（2000元/人，上限1人）</w:t>
      </w:r>
    </w:p>
    <w:p>
      <w:pPr>
        <w:pStyle w:val="2"/>
        <w:widowControl/>
        <w:spacing w:before="0" w:beforeAutospacing="0" w:after="0" w:afterAutospacing="0" w:line="360" w:lineRule="auto"/>
        <w:ind w:right="0" w:firstLine="480" w:firstLineChars="200"/>
        <w:jc w:val="left"/>
        <w:rPr>
          <w:rFonts w:ascii="宋体" w:hAnsi="宋体" w:cs="宋体"/>
          <w:sz w:val="24"/>
          <w:szCs w:val="24"/>
          <w:lang w:bidi="ar-SA"/>
        </w:rPr>
      </w:pPr>
      <w:r>
        <w:rPr>
          <w:rFonts w:hint="eastAsia" w:ascii="宋体" w:hAnsi="宋体" w:cs="宋体"/>
          <w:sz w:val="24"/>
          <w:szCs w:val="24"/>
          <w:lang w:val="en-US" w:eastAsia="zh-CN" w:bidi="ar-SA"/>
        </w:rPr>
        <w:t>用于奖励参加跨学科竞赛并取得突出成绩的本科生。参评者必须在评奖年度内获得至少一项其他奖学金，且综合测评总成绩在专业排名前50%。除此之外，参评还需满足以下条件之一：</w:t>
      </w:r>
    </w:p>
    <w:p>
      <w:pPr>
        <w:pStyle w:val="2"/>
        <w:widowControl/>
        <w:spacing w:before="0" w:beforeAutospacing="0" w:after="0" w:afterAutospacing="0" w:line="360" w:lineRule="auto"/>
        <w:ind w:left="0" w:right="0" w:firstLine="588" w:firstLineChars="245"/>
        <w:jc w:val="left"/>
        <w:rPr>
          <w:rFonts w:ascii="宋体" w:hAnsi="宋体" w:cs="宋体"/>
          <w:sz w:val="24"/>
          <w:szCs w:val="24"/>
          <w:lang w:bidi="ar-SA"/>
        </w:rPr>
      </w:pPr>
      <w:r>
        <w:rPr>
          <w:rFonts w:ascii="宋体" w:hAnsi="宋体" w:cs="宋体"/>
          <w:sz w:val="24"/>
          <w:szCs w:val="24"/>
          <w:lang w:val="en-US" w:eastAsia="zh-CN" w:bidi="ar-SA"/>
        </w:rPr>
        <w:t>1</w:t>
      </w:r>
      <w:r>
        <w:rPr>
          <w:rFonts w:hint="eastAsia" w:ascii="宋体" w:hAnsi="宋体" w:cs="宋体"/>
          <w:sz w:val="24"/>
          <w:szCs w:val="24"/>
          <w:lang w:val="en-US" w:eastAsia="zh-CN" w:bidi="ar-SA"/>
        </w:rPr>
        <w:t>、获得国际重大学科竞赛、创新创业竞赛三等奖及以上奖项的个人或者团队主要成员；</w:t>
      </w:r>
    </w:p>
    <w:p>
      <w:pPr>
        <w:pStyle w:val="2"/>
        <w:widowControl/>
        <w:spacing w:before="0" w:beforeAutospacing="0" w:after="0" w:afterAutospacing="0" w:line="360" w:lineRule="auto"/>
        <w:ind w:left="0" w:right="0" w:firstLine="588" w:firstLineChars="245"/>
        <w:jc w:val="left"/>
        <w:rPr>
          <w:rFonts w:ascii="宋体" w:hAnsi="宋体" w:cs="宋体"/>
          <w:sz w:val="24"/>
          <w:szCs w:val="24"/>
          <w:lang w:bidi="ar-SA"/>
        </w:rPr>
      </w:pPr>
      <w:r>
        <w:rPr>
          <w:rFonts w:ascii="宋体" w:hAnsi="宋体" w:cs="宋体"/>
          <w:sz w:val="24"/>
          <w:szCs w:val="24"/>
          <w:lang w:val="en-US" w:eastAsia="zh-CN" w:bidi="ar-SA"/>
        </w:rPr>
        <w:t>2</w:t>
      </w:r>
      <w:r>
        <w:rPr>
          <w:rFonts w:hint="eastAsia" w:ascii="宋体" w:hAnsi="宋体" w:cs="宋体"/>
          <w:sz w:val="24"/>
          <w:szCs w:val="24"/>
          <w:lang w:val="en-US" w:eastAsia="zh-CN" w:bidi="ar-SA"/>
        </w:rPr>
        <w:t>、获得国家级学科竞赛、创新创业竞赛二等奖及以上奖项的个人或者团队主要成员；</w:t>
      </w:r>
    </w:p>
    <w:p>
      <w:pPr>
        <w:pStyle w:val="2"/>
        <w:widowControl/>
        <w:spacing w:before="0" w:beforeAutospacing="0" w:after="0" w:afterAutospacing="0" w:line="360" w:lineRule="auto"/>
        <w:ind w:left="0" w:right="0" w:firstLine="588" w:firstLineChars="245"/>
        <w:jc w:val="left"/>
        <w:rPr>
          <w:rFonts w:ascii="宋体" w:hAnsi="宋体" w:cs="宋体"/>
          <w:sz w:val="24"/>
          <w:szCs w:val="24"/>
          <w:lang w:bidi="ar-SA"/>
        </w:rPr>
      </w:pPr>
      <w:r>
        <w:rPr>
          <w:rFonts w:ascii="宋体" w:hAnsi="宋体" w:cs="宋体"/>
          <w:sz w:val="24"/>
          <w:szCs w:val="24"/>
          <w:lang w:val="en-US" w:eastAsia="zh-CN" w:bidi="ar-SA"/>
        </w:rPr>
        <w:t>3</w:t>
      </w:r>
      <w:r>
        <w:rPr>
          <w:rFonts w:hint="eastAsia" w:ascii="宋体" w:hAnsi="宋体" w:cs="宋体"/>
          <w:sz w:val="24"/>
          <w:szCs w:val="24"/>
          <w:lang w:val="en-US" w:eastAsia="zh-CN" w:bidi="ar-SA"/>
        </w:rPr>
        <w:t>、获得省部级重要科技奖项一等奖的个人或团队主要成员。</w:t>
      </w:r>
    </w:p>
    <w:p>
      <w:pPr>
        <w:pStyle w:val="2"/>
        <w:widowControl/>
        <w:spacing w:before="0" w:beforeAutospacing="0" w:after="0" w:afterAutospacing="0" w:line="360" w:lineRule="auto"/>
        <w:ind w:left="0" w:right="0" w:firstLine="588" w:firstLineChars="245"/>
        <w:jc w:val="left"/>
        <w:rPr>
          <w:rFonts w:hint="eastAsia" w:ascii="宋体" w:hAnsi="宋体" w:cs="宋体"/>
          <w:sz w:val="24"/>
          <w:szCs w:val="24"/>
          <w:lang w:val="en-US" w:eastAsia="zh-CN" w:bidi="ar-SA"/>
        </w:rPr>
      </w:pPr>
      <w:r>
        <w:rPr>
          <w:rFonts w:hint="eastAsia" w:ascii="宋体" w:hAnsi="宋体" w:cs="宋体"/>
          <w:sz w:val="24"/>
          <w:szCs w:val="24"/>
          <w:lang w:val="en-US" w:eastAsia="zh-CN" w:bidi="ar-SA"/>
        </w:rPr>
        <w:t>以上提到的“主要成员”为个人排名前</w:t>
      </w:r>
      <w:r>
        <w:rPr>
          <w:rFonts w:ascii="宋体" w:hAnsi="宋体" w:cs="宋体"/>
          <w:sz w:val="24"/>
          <w:szCs w:val="24"/>
          <w:lang w:val="en-US" w:eastAsia="zh-CN" w:bidi="ar-SA"/>
        </w:rPr>
        <w:t>5</w:t>
      </w:r>
      <w:r>
        <w:rPr>
          <w:rFonts w:hint="eastAsia" w:ascii="宋体" w:hAnsi="宋体" w:cs="宋体"/>
          <w:sz w:val="24"/>
          <w:szCs w:val="24"/>
          <w:lang w:val="en-US" w:eastAsia="zh-CN" w:bidi="ar-SA"/>
        </w:rPr>
        <w:t>名。</w:t>
      </w:r>
    </w:p>
    <w:p>
      <w:pPr>
        <w:pStyle w:val="2"/>
        <w:widowControl/>
        <w:spacing w:before="0" w:beforeAutospacing="0" w:after="0" w:afterAutospacing="0" w:line="360" w:lineRule="auto"/>
        <w:ind w:right="0"/>
        <w:jc w:val="left"/>
        <w:rPr>
          <w:rFonts w:hint="eastAsia" w:ascii="宋体" w:hAnsi="宋体" w:eastAsia="宋体" w:cs="宋体"/>
          <w:b/>
          <w:bCs/>
          <w:color w:val="3683AF"/>
          <w:kern w:val="0"/>
          <w:sz w:val="24"/>
          <w:szCs w:val="24"/>
          <w:lang w:val="en-US" w:eastAsia="zh-CN" w:bidi="ar-SA"/>
        </w:rPr>
      </w:pPr>
    </w:p>
    <w:p>
      <w:pPr>
        <w:pStyle w:val="2"/>
        <w:widowControl/>
        <w:numPr>
          <w:ilvl w:val="0"/>
          <w:numId w:val="0"/>
        </w:numPr>
        <w:spacing w:before="0" w:beforeAutospacing="0" w:after="0" w:afterAutospacing="0" w:line="360" w:lineRule="auto"/>
        <w:ind w:right="0" w:rightChars="0"/>
        <w:jc w:val="left"/>
        <w:rPr>
          <w:rFonts w:hint="eastAsia" w:ascii="宋体" w:hAnsi="宋体" w:cs="宋体"/>
          <w:b/>
          <w:bCs/>
          <w:color w:val="3683AF"/>
          <w:kern w:val="0"/>
          <w:sz w:val="24"/>
          <w:szCs w:val="24"/>
          <w:lang w:val="en-US" w:eastAsia="zh-CN" w:bidi="ar-SA"/>
        </w:rPr>
      </w:pPr>
      <w:r>
        <w:rPr>
          <w:rFonts w:hint="eastAsia" w:ascii="宋体" w:hAnsi="宋体" w:cs="宋体"/>
          <w:b/>
          <w:bCs/>
          <w:color w:val="3683AF"/>
          <w:kern w:val="0"/>
          <w:sz w:val="24"/>
          <w:szCs w:val="24"/>
          <w:lang w:val="en-US" w:eastAsia="zh-CN" w:bidi="ar-SA"/>
        </w:rPr>
        <w:t>（3）</w:t>
      </w:r>
      <w:r>
        <w:rPr>
          <w:rFonts w:hint="eastAsia" w:ascii="宋体" w:hAnsi="宋体" w:eastAsia="宋体" w:cs="宋体"/>
          <w:b/>
          <w:bCs/>
          <w:color w:val="3683AF"/>
          <w:kern w:val="0"/>
          <w:sz w:val="24"/>
          <w:szCs w:val="24"/>
          <w:lang w:val="en-US" w:eastAsia="zh-CN" w:bidi="ar-SA"/>
        </w:rPr>
        <w:t>学业进步奖</w:t>
      </w:r>
      <w:r>
        <w:rPr>
          <w:rFonts w:hint="eastAsia" w:ascii="宋体" w:hAnsi="宋体" w:cs="宋体"/>
          <w:b/>
          <w:bCs/>
          <w:color w:val="3683AF"/>
          <w:kern w:val="0"/>
          <w:sz w:val="24"/>
          <w:szCs w:val="24"/>
          <w:lang w:val="en-US" w:eastAsia="zh-CN" w:bidi="ar-SA"/>
        </w:rPr>
        <w:t>（1000元/人，上限3人）</w:t>
      </w:r>
    </w:p>
    <w:p>
      <w:pPr>
        <w:pStyle w:val="2"/>
        <w:widowControl/>
        <w:numPr>
          <w:ilvl w:val="0"/>
          <w:numId w:val="0"/>
        </w:numPr>
        <w:spacing w:before="0" w:beforeAutospacing="0" w:after="0" w:afterAutospacing="0" w:line="360" w:lineRule="auto"/>
        <w:ind w:right="0" w:rightChars="0" w:firstLine="480" w:firstLineChars="200"/>
        <w:jc w:val="left"/>
        <w:rPr>
          <w:rFonts w:hint="eastAsia" w:ascii="宋体" w:hAnsi="宋体" w:cs="宋体"/>
          <w:sz w:val="24"/>
          <w:szCs w:val="24"/>
          <w:lang w:val="en-US" w:eastAsia="zh-CN" w:bidi="ar-SA"/>
        </w:rPr>
      </w:pPr>
      <w:r>
        <w:rPr>
          <w:rFonts w:hint="eastAsia" w:ascii="宋体" w:hAnsi="宋体" w:cs="宋体"/>
          <w:sz w:val="24"/>
          <w:szCs w:val="24"/>
          <w:lang w:val="en-US" w:eastAsia="zh-CN" w:bidi="ar-SA"/>
        </w:rPr>
        <w:t>用于鼓励在学习上进步较大的本科生。参评条件如下：</w:t>
      </w:r>
    </w:p>
    <w:p>
      <w:pPr>
        <w:pStyle w:val="2"/>
        <w:widowControl/>
        <w:numPr>
          <w:ilvl w:val="0"/>
          <w:numId w:val="2"/>
        </w:numPr>
        <w:spacing w:before="0" w:beforeAutospacing="0" w:after="0" w:afterAutospacing="0" w:line="360" w:lineRule="auto"/>
        <w:ind w:left="-168" w:leftChars="0" w:right="0" w:rightChars="0" w:firstLine="480" w:firstLineChars="200"/>
        <w:jc w:val="left"/>
        <w:rPr>
          <w:rFonts w:hint="eastAsia" w:ascii="宋体" w:hAnsi="宋体" w:cs="宋体"/>
          <w:sz w:val="24"/>
          <w:szCs w:val="24"/>
          <w:lang w:val="en-US" w:eastAsia="zh-CN" w:bidi="ar-SA"/>
        </w:rPr>
      </w:pPr>
      <w:r>
        <w:rPr>
          <w:rFonts w:hint="eastAsia" w:ascii="宋体" w:hAnsi="宋体" w:cs="宋体"/>
          <w:sz w:val="24"/>
          <w:szCs w:val="24"/>
          <w:lang w:val="en-US" w:eastAsia="zh-CN" w:bidi="ar-SA"/>
        </w:rPr>
        <w:t>在校期间学习态度端正、勤奋学习、学以致用、解决实际问题；</w:t>
      </w:r>
    </w:p>
    <w:p>
      <w:pPr>
        <w:pStyle w:val="2"/>
        <w:widowControl/>
        <w:numPr>
          <w:ilvl w:val="0"/>
          <w:numId w:val="2"/>
        </w:numPr>
        <w:spacing w:before="0" w:beforeAutospacing="0" w:after="0" w:afterAutospacing="0" w:line="360" w:lineRule="auto"/>
        <w:ind w:left="-168" w:leftChars="0" w:right="0" w:rightChars="0" w:firstLine="480" w:firstLineChars="200"/>
        <w:jc w:val="left"/>
        <w:rPr>
          <w:rFonts w:hint="eastAsia" w:ascii="宋体" w:hAnsi="宋体" w:cs="宋体"/>
          <w:sz w:val="24"/>
          <w:szCs w:val="24"/>
          <w:lang w:val="en-US" w:eastAsia="zh-CN" w:bidi="ar-SA"/>
        </w:rPr>
      </w:pPr>
      <w:r>
        <w:rPr>
          <w:rFonts w:hint="eastAsia" w:ascii="宋体" w:hAnsi="宋体" w:cs="宋体"/>
          <w:sz w:val="24"/>
          <w:szCs w:val="24"/>
          <w:lang w:val="en-US" w:eastAsia="zh-CN" w:bidi="ar-SA"/>
        </w:rPr>
        <w:t>评奖学年学习绩点或成绩排名进步较明显；</w:t>
      </w:r>
    </w:p>
    <w:p>
      <w:pPr>
        <w:pStyle w:val="2"/>
        <w:widowControl/>
        <w:numPr>
          <w:ilvl w:val="0"/>
          <w:numId w:val="2"/>
        </w:numPr>
        <w:spacing w:before="0" w:beforeAutospacing="0" w:after="0" w:afterAutospacing="0" w:line="360" w:lineRule="auto"/>
        <w:ind w:left="-168" w:leftChars="0" w:right="0" w:rightChars="0" w:firstLine="480" w:firstLineChars="200"/>
        <w:jc w:val="left"/>
        <w:rPr>
          <w:rFonts w:hint="eastAsia" w:ascii="宋体" w:hAnsi="宋体" w:cs="宋体"/>
          <w:sz w:val="24"/>
          <w:szCs w:val="24"/>
          <w:lang w:val="en-US" w:eastAsia="zh-CN" w:bidi="ar-SA"/>
        </w:rPr>
      </w:pPr>
      <w:r>
        <w:rPr>
          <w:rFonts w:hint="eastAsia" w:ascii="宋体" w:hAnsi="宋体" w:cs="宋体"/>
          <w:sz w:val="24"/>
          <w:szCs w:val="24"/>
          <w:lang w:val="en-US" w:eastAsia="zh-CN" w:bidi="ar-SA"/>
        </w:rPr>
        <w:t>具备申请当年奖学金的资格，参见《2018-2019学年大气科学学院本科生综合测评实施办法》第六条；</w:t>
      </w:r>
    </w:p>
    <w:p>
      <w:pPr>
        <w:pStyle w:val="2"/>
        <w:widowControl/>
        <w:numPr>
          <w:ilvl w:val="0"/>
          <w:numId w:val="2"/>
        </w:numPr>
        <w:spacing w:before="0" w:beforeAutospacing="0" w:after="0" w:afterAutospacing="0" w:line="360" w:lineRule="auto"/>
        <w:ind w:left="-168" w:leftChars="0" w:right="0" w:rightChars="0" w:firstLine="480" w:firstLineChars="200"/>
        <w:jc w:val="left"/>
        <w:rPr>
          <w:rFonts w:hint="eastAsia" w:ascii="宋体" w:hAnsi="宋体" w:cs="宋体"/>
          <w:sz w:val="24"/>
          <w:szCs w:val="24"/>
          <w:lang w:val="en-US" w:eastAsia="zh-CN" w:bidi="ar-SA"/>
        </w:rPr>
      </w:pPr>
      <w:r>
        <w:rPr>
          <w:rFonts w:hint="eastAsia" w:ascii="宋体" w:hAnsi="宋体" w:cs="宋体"/>
          <w:sz w:val="24"/>
          <w:szCs w:val="24"/>
          <w:lang w:val="en-US" w:eastAsia="zh-CN" w:bidi="ar-SA"/>
        </w:rPr>
        <w:t>评奖年度内未获得其他奖学金。</w:t>
      </w:r>
    </w:p>
    <w:p>
      <w:pPr>
        <w:pStyle w:val="2"/>
        <w:widowControl/>
        <w:numPr>
          <w:ilvl w:val="0"/>
          <w:numId w:val="0"/>
        </w:numPr>
        <w:spacing w:before="0" w:beforeAutospacing="0" w:after="0" w:afterAutospacing="0" w:line="360" w:lineRule="auto"/>
        <w:ind w:right="0" w:rightChars="0"/>
        <w:jc w:val="left"/>
        <w:rPr>
          <w:rFonts w:hint="eastAsia" w:ascii="宋体" w:hAnsi="宋体" w:cs="宋体"/>
          <w:sz w:val="24"/>
          <w:szCs w:val="24"/>
          <w:lang w:val="en-US" w:eastAsia="zh-CN" w:bidi="ar-SA"/>
        </w:rPr>
      </w:pPr>
    </w:p>
    <w:p>
      <w:pPr>
        <w:pStyle w:val="2"/>
        <w:widowControl/>
        <w:numPr>
          <w:ilvl w:val="0"/>
          <w:numId w:val="0"/>
        </w:numPr>
        <w:spacing w:before="0" w:beforeAutospacing="0" w:after="0" w:afterAutospacing="0" w:line="360" w:lineRule="auto"/>
        <w:ind w:right="0" w:rightChars="0"/>
        <w:jc w:val="left"/>
        <w:rPr>
          <w:rFonts w:hint="eastAsia" w:ascii="宋体" w:hAnsi="宋体" w:eastAsia="宋体" w:cs="宋体"/>
          <w:b/>
          <w:bCs/>
          <w:color w:val="3683AF"/>
          <w:kern w:val="0"/>
          <w:sz w:val="24"/>
          <w:szCs w:val="24"/>
          <w:lang w:val="en-US" w:eastAsia="zh-CN" w:bidi="ar-SA"/>
        </w:rPr>
      </w:pPr>
      <w:r>
        <w:rPr>
          <w:rFonts w:hint="eastAsia" w:ascii="宋体" w:hAnsi="宋体" w:eastAsia="宋体" w:cs="宋体"/>
          <w:b/>
          <w:bCs/>
          <w:color w:val="3683AF"/>
          <w:kern w:val="0"/>
          <w:sz w:val="24"/>
          <w:szCs w:val="24"/>
          <w:lang w:val="en-US" w:eastAsia="zh-CN" w:bidi="ar-SA"/>
        </w:rPr>
        <w:t>（</w:t>
      </w:r>
      <w:r>
        <w:rPr>
          <w:rFonts w:hint="eastAsia" w:ascii="宋体" w:hAnsi="宋体" w:cs="宋体"/>
          <w:b/>
          <w:bCs/>
          <w:color w:val="3683AF"/>
          <w:kern w:val="0"/>
          <w:sz w:val="24"/>
          <w:szCs w:val="24"/>
          <w:lang w:val="en-US" w:eastAsia="zh-CN" w:bidi="ar-SA"/>
        </w:rPr>
        <w:t>4</w:t>
      </w:r>
      <w:r>
        <w:rPr>
          <w:rFonts w:hint="eastAsia" w:ascii="宋体" w:hAnsi="宋体" w:eastAsia="宋体" w:cs="宋体"/>
          <w:b/>
          <w:bCs/>
          <w:color w:val="3683AF"/>
          <w:kern w:val="0"/>
          <w:sz w:val="24"/>
          <w:szCs w:val="24"/>
          <w:lang w:val="en-US" w:eastAsia="zh-CN" w:bidi="ar-SA"/>
        </w:rPr>
        <w:t>）</w:t>
      </w:r>
      <w:r>
        <w:rPr>
          <w:rFonts w:hint="eastAsia" w:ascii="宋体" w:hAnsi="宋体" w:cs="宋体"/>
          <w:b/>
          <w:bCs/>
          <w:color w:val="3683AF"/>
          <w:kern w:val="0"/>
          <w:sz w:val="24"/>
          <w:szCs w:val="24"/>
          <w:lang w:val="en-US" w:eastAsia="zh-CN" w:bidi="ar-SA"/>
        </w:rPr>
        <w:t>文体实践奖（1000元/人，上限2人）</w:t>
      </w:r>
    </w:p>
    <w:p>
      <w:pPr>
        <w:pStyle w:val="2"/>
        <w:widowControl/>
        <w:numPr>
          <w:ilvl w:val="0"/>
          <w:numId w:val="0"/>
        </w:numPr>
        <w:spacing w:before="0" w:beforeAutospacing="0" w:after="0" w:afterAutospacing="0" w:line="360" w:lineRule="auto"/>
        <w:ind w:right="0" w:rightChars="0" w:firstLine="480" w:firstLineChars="200"/>
        <w:jc w:val="left"/>
        <w:rPr>
          <w:rFonts w:ascii="宋体" w:hAnsi="宋体" w:cs="宋体"/>
          <w:sz w:val="24"/>
          <w:szCs w:val="24"/>
          <w:lang w:bidi="ar-SA"/>
        </w:rPr>
      </w:pPr>
      <w:r>
        <w:rPr>
          <w:rFonts w:hint="eastAsia" w:ascii="宋体" w:hAnsi="宋体" w:cs="宋体"/>
          <w:sz w:val="24"/>
          <w:szCs w:val="24"/>
          <w:lang w:val="en-US" w:eastAsia="zh-CN" w:bidi="ar-SA"/>
        </w:rPr>
        <w:t>用于奖励在文体艺术方面有突出成绩的本科生。参评者原则上在评奖年度内未获得其他奖学金，且综合测评总成绩在专业排名前50%。除此之外，参评还需满足以下条件之一：</w:t>
      </w:r>
    </w:p>
    <w:p>
      <w:pPr>
        <w:pStyle w:val="2"/>
        <w:widowControl/>
        <w:numPr>
          <w:ilvl w:val="0"/>
          <w:numId w:val="3"/>
        </w:numPr>
        <w:spacing w:before="0" w:beforeAutospacing="0" w:after="0" w:afterAutospacing="0" w:line="360" w:lineRule="auto"/>
        <w:ind w:left="0" w:right="0" w:firstLine="588" w:firstLineChars="245"/>
        <w:jc w:val="left"/>
        <w:rPr>
          <w:rFonts w:hint="eastAsia" w:ascii="宋体" w:hAnsi="宋体" w:cs="宋体"/>
          <w:sz w:val="24"/>
          <w:szCs w:val="24"/>
          <w:lang w:val="en-US" w:eastAsia="zh-CN" w:bidi="ar-SA"/>
        </w:rPr>
      </w:pPr>
      <w:r>
        <w:rPr>
          <w:rFonts w:hint="eastAsia" w:ascii="宋体" w:hAnsi="宋体" w:cs="宋体"/>
          <w:sz w:val="24"/>
          <w:szCs w:val="24"/>
          <w:lang w:val="en-US" w:eastAsia="zh-CN" w:bidi="ar-SA"/>
        </w:rPr>
        <w:t>参加体育类竞赛：国家级体育赛事单项前三名或集体项目前八名的主力队员；省级或校级体育赛事单项冠军或集体项目前三名的主力队员；</w:t>
      </w:r>
    </w:p>
    <w:p>
      <w:pPr>
        <w:pStyle w:val="2"/>
        <w:widowControl/>
        <w:spacing w:before="0" w:beforeAutospacing="0" w:after="0" w:afterAutospacing="0" w:line="360" w:lineRule="auto"/>
        <w:ind w:left="0" w:right="0" w:firstLine="588" w:firstLineChars="245"/>
        <w:jc w:val="left"/>
        <w:rPr>
          <w:rFonts w:ascii="宋体" w:hAnsi="宋体" w:cs="宋体"/>
          <w:sz w:val="24"/>
          <w:szCs w:val="24"/>
          <w:lang w:bidi="ar-SA"/>
        </w:rPr>
      </w:pPr>
      <w:r>
        <w:rPr>
          <w:rFonts w:ascii="宋体" w:hAnsi="宋体" w:cs="宋体"/>
          <w:sz w:val="24"/>
          <w:szCs w:val="24"/>
          <w:lang w:val="en-US" w:eastAsia="zh-CN" w:bidi="ar-SA"/>
        </w:rPr>
        <w:t>2</w:t>
      </w:r>
      <w:r>
        <w:rPr>
          <w:rFonts w:hint="eastAsia" w:ascii="宋体" w:hAnsi="宋体" w:cs="宋体"/>
          <w:sz w:val="24"/>
          <w:szCs w:val="24"/>
          <w:lang w:val="en-US" w:eastAsia="zh-CN" w:bidi="ar-SA"/>
        </w:rPr>
        <w:t>、参加文化艺术类竞赛（包括音乐、舞蹈、戏剧、曲艺、书画、摄影）：国家部委举办的国家级文化艺术类竞赛获得三等奖及以上的个人或者团队主要成员，或者省教育厅、团省委等举办的省级文化艺术类竞赛获得二等奖及以上的个人或者团队主要成员。</w:t>
      </w:r>
    </w:p>
    <w:p>
      <w:pPr>
        <w:keepNext w:val="0"/>
        <w:keepLines w:val="0"/>
        <w:widowControl/>
        <w:numPr>
          <w:ilvl w:val="0"/>
          <w:numId w:val="0"/>
        </w:numPr>
        <w:suppressLineNumbers w:val="0"/>
        <w:spacing w:before="0" w:beforeAutospacing="0" w:after="120" w:afterLines="50" w:afterAutospacing="0" w:line="18" w:lineRule="atLeast"/>
        <w:ind w:right="-168" w:rightChars="0"/>
        <w:jc w:val="left"/>
        <w:rPr>
          <w:rFonts w:hint="eastAsia" w:ascii="宋体" w:hAnsi="宋体" w:eastAsia="宋体" w:cs="宋体"/>
          <w:b/>
          <w:bCs/>
          <w:color w:val="3683AF"/>
          <w:kern w:val="0"/>
          <w:sz w:val="24"/>
          <w:szCs w:val="24"/>
          <w:lang w:val="en-US" w:eastAsia="zh-CN" w:bidi="ar-SA"/>
        </w:rPr>
      </w:pPr>
    </w:p>
    <w:p>
      <w:pPr>
        <w:keepNext w:val="0"/>
        <w:keepLines w:val="0"/>
        <w:widowControl/>
        <w:numPr>
          <w:ilvl w:val="0"/>
          <w:numId w:val="0"/>
        </w:numPr>
        <w:suppressLineNumbers w:val="0"/>
        <w:spacing w:before="0" w:beforeAutospacing="0" w:after="120" w:afterLines="50" w:afterAutospacing="0" w:line="18" w:lineRule="atLeast"/>
        <w:ind w:right="-168" w:rightChars="0"/>
        <w:jc w:val="left"/>
        <w:rPr>
          <w:rFonts w:hint="eastAsia" w:ascii="宋体" w:hAnsi="宋体" w:eastAsia="宋体" w:cs="宋体"/>
          <w:b/>
          <w:bCs/>
          <w:color w:val="3683AF"/>
          <w:kern w:val="0"/>
          <w:sz w:val="24"/>
          <w:szCs w:val="24"/>
          <w:lang w:val="en-US" w:eastAsia="zh-CN" w:bidi="ar-SA"/>
        </w:rPr>
      </w:pPr>
      <w:r>
        <w:rPr>
          <w:rFonts w:hint="eastAsia" w:ascii="宋体" w:hAnsi="宋体" w:eastAsia="宋体" w:cs="宋体"/>
          <w:b/>
          <w:bCs/>
          <w:color w:val="3683AF"/>
          <w:kern w:val="0"/>
          <w:sz w:val="24"/>
          <w:szCs w:val="24"/>
          <w:lang w:val="en-US" w:eastAsia="zh-CN" w:bidi="ar-SA"/>
        </w:rPr>
        <w:t>（</w:t>
      </w:r>
      <w:r>
        <w:rPr>
          <w:rFonts w:hint="eastAsia" w:ascii="宋体" w:hAnsi="宋体" w:cs="宋体"/>
          <w:b/>
          <w:bCs/>
          <w:color w:val="3683AF"/>
          <w:kern w:val="0"/>
          <w:sz w:val="24"/>
          <w:szCs w:val="24"/>
          <w:lang w:val="en-US" w:eastAsia="zh-CN" w:bidi="ar-SA"/>
        </w:rPr>
        <w:t>5</w:t>
      </w:r>
      <w:r>
        <w:rPr>
          <w:rFonts w:hint="eastAsia" w:ascii="宋体" w:hAnsi="宋体" w:eastAsia="宋体" w:cs="宋体"/>
          <w:b/>
          <w:bCs/>
          <w:color w:val="3683AF"/>
          <w:kern w:val="0"/>
          <w:sz w:val="24"/>
          <w:szCs w:val="24"/>
          <w:lang w:val="en-US" w:eastAsia="zh-CN" w:bidi="ar-SA"/>
        </w:rPr>
        <w:t>）</w:t>
      </w:r>
      <w:r>
        <w:rPr>
          <w:rFonts w:hint="eastAsia" w:ascii="宋体" w:hAnsi="宋体" w:cs="宋体"/>
          <w:b/>
          <w:bCs/>
          <w:color w:val="3683AF"/>
          <w:kern w:val="0"/>
          <w:sz w:val="24"/>
          <w:szCs w:val="24"/>
          <w:lang w:val="en-US" w:eastAsia="zh-CN" w:bidi="ar-SA"/>
        </w:rPr>
        <w:t>道德风尚奖（1000元/人，上限1人）</w:t>
      </w:r>
    </w:p>
    <w:p>
      <w:pPr>
        <w:pStyle w:val="2"/>
        <w:widowControl/>
        <w:numPr>
          <w:ilvl w:val="0"/>
          <w:numId w:val="0"/>
        </w:numPr>
        <w:spacing w:before="0" w:beforeAutospacing="0" w:after="0" w:afterAutospacing="0" w:line="360" w:lineRule="auto"/>
        <w:ind w:right="0" w:rightChars="0" w:firstLine="480" w:firstLineChars="200"/>
        <w:jc w:val="left"/>
        <w:rPr>
          <w:rFonts w:hint="eastAsia" w:ascii="宋体" w:hAnsi="宋体" w:cs="宋体"/>
          <w:color w:val="555555"/>
          <w:sz w:val="24"/>
          <w:szCs w:val="24"/>
          <w:lang w:val="en-US" w:eastAsia="zh-CN" w:bidi="ar-SA"/>
        </w:rPr>
      </w:pPr>
      <w:r>
        <w:rPr>
          <w:rFonts w:hint="eastAsia" w:ascii="宋体" w:hAnsi="宋体" w:cs="宋体"/>
          <w:color w:val="555555"/>
          <w:sz w:val="24"/>
          <w:szCs w:val="24"/>
          <w:lang w:val="en-US" w:eastAsia="zh-CN" w:bidi="ar-SA"/>
        </w:rPr>
        <w:t>用于奖励道德品行表现突出的本科生。</w:t>
      </w:r>
      <w:r>
        <w:rPr>
          <w:rFonts w:hint="eastAsia" w:ascii="宋体" w:hAnsi="宋体" w:cs="宋体"/>
          <w:sz w:val="24"/>
          <w:szCs w:val="24"/>
          <w:lang w:val="en-US" w:eastAsia="zh-CN" w:bidi="ar-SA"/>
        </w:rPr>
        <w:t>参评者原则上在评奖年度内未获得其他奖学金，且综合测评总成绩在专业排名前50%。除此之外，参评还需满足以下条件之一：</w:t>
      </w:r>
    </w:p>
    <w:p>
      <w:pPr>
        <w:pStyle w:val="2"/>
        <w:widowControl/>
        <w:spacing w:before="0" w:beforeAutospacing="0" w:after="0" w:afterAutospacing="0" w:line="360" w:lineRule="auto"/>
        <w:ind w:left="0" w:right="0" w:firstLine="588" w:firstLineChars="245"/>
        <w:jc w:val="left"/>
        <w:rPr>
          <w:rFonts w:hint="eastAsia" w:ascii="宋体" w:hAnsi="宋体" w:cs="宋体"/>
          <w:color w:val="555555"/>
          <w:sz w:val="24"/>
          <w:szCs w:val="24"/>
          <w:lang w:val="en-US" w:eastAsia="zh-CN" w:bidi="ar-SA"/>
        </w:rPr>
      </w:pPr>
      <w:r>
        <w:rPr>
          <w:rFonts w:hint="eastAsia" w:ascii="宋体" w:hAnsi="宋体" w:cs="宋体"/>
          <w:color w:val="555555"/>
          <w:sz w:val="24"/>
          <w:szCs w:val="24"/>
          <w:lang w:val="en-US" w:eastAsia="zh-CN" w:bidi="ar-SA"/>
        </w:rPr>
        <w:t>1、自觉践行社会主义核心价值观，有突出事迹，在学生中起到示范或模范带头作用或在社会上产生积极影响；</w:t>
      </w:r>
    </w:p>
    <w:p>
      <w:pPr>
        <w:pStyle w:val="2"/>
        <w:widowControl/>
        <w:spacing w:before="0" w:beforeAutospacing="0" w:after="0" w:afterAutospacing="0" w:line="360" w:lineRule="auto"/>
        <w:ind w:left="0" w:right="0" w:firstLine="588" w:firstLineChars="245"/>
        <w:jc w:val="left"/>
        <w:rPr>
          <w:rFonts w:hint="eastAsia" w:ascii="宋体" w:hAnsi="宋体" w:cs="宋体"/>
          <w:color w:val="555555"/>
          <w:sz w:val="24"/>
          <w:szCs w:val="24"/>
          <w:lang w:val="en-US" w:eastAsia="zh-CN" w:bidi="ar-SA"/>
        </w:rPr>
      </w:pPr>
      <w:r>
        <w:rPr>
          <w:rFonts w:hint="eastAsia" w:ascii="宋体" w:hAnsi="宋体" w:cs="宋体"/>
          <w:color w:val="555555"/>
          <w:sz w:val="24"/>
          <w:szCs w:val="24"/>
          <w:lang w:val="en-US" w:eastAsia="zh-CN" w:bidi="ar-SA"/>
        </w:rPr>
        <w:t>2、在助人为乐、见义勇为、诚实守信、孝老爱亲等方面有突出事迹，在学生中起到示范或模范带头作用或在社会上产生积极影响；</w:t>
      </w:r>
    </w:p>
    <w:p>
      <w:pPr>
        <w:pStyle w:val="2"/>
        <w:widowControl/>
        <w:spacing w:before="0" w:beforeAutospacing="0" w:after="0" w:afterAutospacing="0" w:line="360" w:lineRule="auto"/>
        <w:ind w:left="0" w:right="0" w:firstLine="588" w:firstLineChars="245"/>
        <w:jc w:val="left"/>
        <w:rPr>
          <w:rFonts w:hint="eastAsia" w:ascii="宋体" w:hAnsi="宋体" w:cs="宋体"/>
          <w:color w:val="555555"/>
          <w:sz w:val="24"/>
          <w:szCs w:val="24"/>
          <w:lang w:val="en-US" w:eastAsia="zh-CN" w:bidi="ar-SA"/>
        </w:rPr>
      </w:pPr>
      <w:r>
        <w:rPr>
          <w:rFonts w:hint="eastAsia" w:ascii="宋体" w:hAnsi="宋体" w:cs="宋体"/>
          <w:color w:val="555555"/>
          <w:sz w:val="24"/>
          <w:szCs w:val="24"/>
          <w:lang w:val="en-US" w:eastAsia="zh-CN" w:bidi="ar-SA"/>
        </w:rPr>
        <w:t>3、参加重大活动的志愿服务或者长期从事志愿服务，在学生中起到示范或模范带头作用或在社会上产生积极影响。</w:t>
      </w:r>
    </w:p>
    <w:p>
      <w:pPr>
        <w:pStyle w:val="2"/>
        <w:widowControl/>
        <w:spacing w:before="0" w:beforeAutospacing="0" w:after="0" w:afterAutospacing="0" w:line="360" w:lineRule="auto"/>
        <w:ind w:left="0" w:right="0" w:firstLine="588" w:firstLineChars="245"/>
        <w:jc w:val="left"/>
        <w:rPr>
          <w:rFonts w:hint="eastAsia" w:ascii="宋体" w:hAnsi="宋体" w:cs="宋体"/>
          <w:color w:val="555555"/>
          <w:sz w:val="24"/>
          <w:szCs w:val="24"/>
          <w:lang w:val="en-US" w:eastAsia="zh-CN" w:bidi="ar-SA"/>
        </w:rPr>
      </w:pPr>
    </w:p>
    <w:p>
      <w:pPr>
        <w:keepNext w:val="0"/>
        <w:keepLines w:val="0"/>
        <w:widowControl/>
        <w:numPr>
          <w:ilvl w:val="0"/>
          <w:numId w:val="4"/>
        </w:numPr>
        <w:suppressLineNumbers w:val="0"/>
        <w:spacing w:before="0" w:beforeAutospacing="0" w:after="120" w:afterLines="50" w:afterAutospacing="0" w:line="18" w:lineRule="atLeast"/>
        <w:ind w:right="-168" w:rightChars="0"/>
        <w:jc w:val="left"/>
        <w:rPr>
          <w:rFonts w:hint="eastAsia" w:ascii="宋体" w:hAnsi="宋体" w:cs="宋体"/>
          <w:b/>
          <w:bCs/>
          <w:color w:val="3683AF"/>
          <w:kern w:val="0"/>
          <w:sz w:val="24"/>
          <w:szCs w:val="24"/>
          <w:lang w:val="en-US" w:eastAsia="zh-CN" w:bidi="ar-SA"/>
        </w:rPr>
      </w:pPr>
      <w:r>
        <w:rPr>
          <w:rFonts w:hint="eastAsia" w:ascii="宋体" w:hAnsi="宋体" w:cs="宋体"/>
          <w:b/>
          <w:bCs/>
          <w:color w:val="3683AF"/>
          <w:kern w:val="0"/>
          <w:sz w:val="24"/>
          <w:szCs w:val="24"/>
          <w:lang w:val="en-US" w:eastAsia="zh-CN" w:bidi="ar-SA"/>
        </w:rPr>
        <w:t>笃行干部奖（1000元/人，上限2人）</w:t>
      </w:r>
    </w:p>
    <w:p>
      <w:pPr>
        <w:pStyle w:val="2"/>
        <w:widowControl/>
        <w:numPr>
          <w:ilvl w:val="0"/>
          <w:numId w:val="0"/>
        </w:numPr>
        <w:spacing w:before="0" w:beforeAutospacing="0" w:after="0" w:afterAutospacing="0" w:line="360" w:lineRule="auto"/>
        <w:ind w:right="0" w:rightChars="0" w:firstLine="480" w:firstLineChars="200"/>
        <w:jc w:val="left"/>
        <w:rPr>
          <w:rFonts w:hint="eastAsia" w:ascii="宋体" w:hAnsi="宋体" w:cs="宋体"/>
          <w:color w:val="555555"/>
          <w:sz w:val="24"/>
          <w:szCs w:val="24"/>
          <w:lang w:val="en-US" w:eastAsia="zh-CN" w:bidi="ar-SA"/>
        </w:rPr>
      </w:pPr>
      <w:r>
        <w:rPr>
          <w:rFonts w:hint="eastAsia" w:ascii="宋体" w:hAnsi="宋体" w:cs="宋体"/>
          <w:color w:val="555555"/>
          <w:sz w:val="24"/>
          <w:szCs w:val="24"/>
          <w:lang w:val="en-US" w:eastAsia="zh-CN" w:bidi="ar-SA"/>
        </w:rPr>
        <w:t>用于奖励在学生干部队伍表现突出的本科生。</w:t>
      </w:r>
      <w:r>
        <w:rPr>
          <w:rFonts w:hint="eastAsia" w:ascii="宋体" w:hAnsi="宋体" w:cs="宋体"/>
          <w:sz w:val="24"/>
          <w:szCs w:val="24"/>
          <w:lang w:val="en-US" w:eastAsia="zh-CN" w:bidi="ar-SA"/>
        </w:rPr>
        <w:t>参评者在评奖年度内未获得其他奖学金。除此之外，参评还需满足以下条件之一：</w:t>
      </w:r>
    </w:p>
    <w:p>
      <w:pPr>
        <w:pStyle w:val="2"/>
        <w:widowControl/>
        <w:spacing w:before="0" w:beforeAutospacing="0" w:after="0" w:afterAutospacing="0" w:line="360" w:lineRule="auto"/>
        <w:ind w:left="0" w:right="0" w:firstLine="588" w:firstLineChars="245"/>
        <w:jc w:val="left"/>
        <w:rPr>
          <w:rFonts w:hint="eastAsia" w:ascii="宋体" w:hAnsi="宋体" w:cs="宋体"/>
          <w:color w:val="555555"/>
          <w:sz w:val="24"/>
          <w:szCs w:val="24"/>
          <w:lang w:val="en-US" w:eastAsia="zh-CN" w:bidi="ar-SA"/>
        </w:rPr>
      </w:pPr>
      <w:r>
        <w:rPr>
          <w:rFonts w:hint="eastAsia" w:ascii="宋体" w:hAnsi="宋体" w:cs="宋体"/>
          <w:color w:val="555555"/>
          <w:sz w:val="24"/>
          <w:szCs w:val="24"/>
          <w:lang w:val="en-US" w:eastAsia="zh-CN" w:bidi="ar-SA"/>
        </w:rPr>
        <w:t>1.具有坚定的政治立场，思想积极要求进步，努力学习马列主义、毛泽东思想、邓小平理论、“三个代表”重要思想、科学发展观和习近平新时代中国特色社会主义思想，具有较高的思想政治觉悟；</w:t>
      </w:r>
    </w:p>
    <w:p>
      <w:pPr>
        <w:pStyle w:val="2"/>
        <w:widowControl/>
        <w:spacing w:before="0" w:beforeAutospacing="0" w:after="0" w:afterAutospacing="0" w:line="360" w:lineRule="auto"/>
        <w:ind w:left="0" w:right="0" w:firstLine="588" w:firstLineChars="245"/>
        <w:jc w:val="left"/>
        <w:rPr>
          <w:rFonts w:hint="eastAsia" w:ascii="宋体" w:hAnsi="宋体" w:cs="宋体"/>
          <w:color w:val="555555"/>
          <w:sz w:val="24"/>
          <w:szCs w:val="24"/>
          <w:lang w:val="en-US" w:eastAsia="zh-CN" w:bidi="ar-SA"/>
        </w:rPr>
      </w:pPr>
      <w:r>
        <w:rPr>
          <w:rFonts w:hint="eastAsia" w:ascii="宋体" w:hAnsi="宋体" w:cs="宋体"/>
          <w:color w:val="555555"/>
          <w:sz w:val="24"/>
          <w:szCs w:val="24"/>
          <w:lang w:val="en-US" w:eastAsia="zh-CN" w:bidi="ar-SA"/>
        </w:rPr>
        <w:t>2.在2018-2019年度在各级学生组织中有过任职经历，任期满一年；</w:t>
      </w:r>
    </w:p>
    <w:p>
      <w:pPr>
        <w:pStyle w:val="2"/>
        <w:widowControl/>
        <w:spacing w:before="0" w:beforeAutospacing="0" w:after="0" w:afterAutospacing="0" w:line="360" w:lineRule="auto"/>
        <w:ind w:left="0" w:right="0" w:firstLine="588" w:firstLineChars="245"/>
        <w:jc w:val="left"/>
        <w:rPr>
          <w:rFonts w:hint="eastAsia" w:ascii="宋体" w:hAnsi="宋体" w:cs="宋体"/>
          <w:color w:val="555555"/>
          <w:sz w:val="24"/>
          <w:szCs w:val="24"/>
          <w:lang w:val="en-US" w:eastAsia="zh-CN" w:bidi="ar-SA"/>
        </w:rPr>
      </w:pPr>
      <w:r>
        <w:rPr>
          <w:rFonts w:hint="eastAsia" w:ascii="宋体" w:hAnsi="宋体" w:cs="宋体"/>
          <w:color w:val="555555"/>
          <w:sz w:val="24"/>
          <w:szCs w:val="24"/>
          <w:lang w:val="en-US" w:eastAsia="zh-CN" w:bidi="ar-SA"/>
        </w:rPr>
        <w:t>3.努力学习科学文化知识，在学业上不断追求卓越，学习成绩原则上要求在本专业前百分之五十（50%）；</w:t>
      </w:r>
    </w:p>
    <w:p>
      <w:pPr>
        <w:pStyle w:val="2"/>
        <w:widowControl/>
        <w:spacing w:before="0" w:beforeAutospacing="0" w:after="0" w:afterAutospacing="0" w:line="360" w:lineRule="auto"/>
        <w:ind w:left="0" w:right="0" w:firstLine="588" w:firstLineChars="245"/>
        <w:jc w:val="left"/>
        <w:rPr>
          <w:rFonts w:hint="eastAsia" w:ascii="宋体" w:hAnsi="宋体" w:cs="宋体"/>
          <w:color w:val="555555"/>
          <w:sz w:val="24"/>
          <w:szCs w:val="24"/>
          <w:lang w:val="en-US" w:eastAsia="zh-CN" w:bidi="ar-SA"/>
        </w:rPr>
      </w:pPr>
      <w:r>
        <w:rPr>
          <w:rFonts w:hint="eastAsia" w:ascii="宋体" w:hAnsi="宋体" w:cs="宋体"/>
          <w:color w:val="555555"/>
          <w:sz w:val="24"/>
          <w:szCs w:val="24"/>
          <w:lang w:val="en-US" w:eastAsia="zh-CN" w:bidi="ar-SA"/>
        </w:rPr>
        <w:t>4.尊师爱校，遵纪守法，具备良好的道德修养，具有国际视野、人文情怀和社会担当，积极组织并参与各项活动，并起到骨干带头作用；</w:t>
      </w:r>
    </w:p>
    <w:p>
      <w:pPr>
        <w:pStyle w:val="2"/>
        <w:widowControl/>
        <w:spacing w:before="0" w:beforeAutospacing="0" w:after="0" w:afterAutospacing="0" w:line="360" w:lineRule="auto"/>
        <w:ind w:left="0" w:right="0" w:firstLine="588" w:firstLineChars="245"/>
        <w:jc w:val="left"/>
        <w:rPr>
          <w:rFonts w:hint="eastAsia" w:ascii="宋体" w:hAnsi="宋体" w:cs="宋体"/>
          <w:color w:val="555555"/>
          <w:sz w:val="24"/>
          <w:szCs w:val="24"/>
          <w:lang w:val="en-US" w:eastAsia="zh-CN" w:bidi="ar-SA"/>
        </w:rPr>
      </w:pPr>
      <w:r>
        <w:rPr>
          <w:rFonts w:hint="eastAsia" w:ascii="宋体" w:hAnsi="宋体" w:cs="宋体"/>
          <w:color w:val="555555"/>
          <w:sz w:val="24"/>
          <w:szCs w:val="24"/>
          <w:lang w:val="en-US" w:eastAsia="zh-CN" w:bidi="ar-SA"/>
        </w:rPr>
        <w:t>5.热爱自身的工作，认真履行自身职责，有较强的工作能力和务实创新的工作作风，在自己的工作岗位上扎实有效地开展工作，为学生组织的发展做出了突出贡献；</w:t>
      </w:r>
    </w:p>
    <w:p>
      <w:pPr>
        <w:pStyle w:val="2"/>
        <w:widowControl/>
        <w:spacing w:before="0" w:beforeAutospacing="0" w:after="0" w:afterAutospacing="0" w:line="360" w:lineRule="auto"/>
        <w:ind w:left="0" w:right="0" w:firstLine="588" w:firstLineChars="245"/>
        <w:jc w:val="left"/>
        <w:rPr>
          <w:rFonts w:hint="eastAsia" w:ascii="宋体" w:hAnsi="宋体" w:cs="宋体"/>
          <w:color w:val="555555"/>
          <w:sz w:val="24"/>
          <w:szCs w:val="24"/>
          <w:lang w:val="en-US" w:eastAsia="zh-CN" w:bidi="ar-SA"/>
        </w:rPr>
      </w:pPr>
      <w:r>
        <w:rPr>
          <w:rFonts w:hint="eastAsia" w:ascii="宋体" w:hAnsi="宋体" w:cs="宋体"/>
          <w:color w:val="555555"/>
          <w:sz w:val="24"/>
          <w:szCs w:val="24"/>
          <w:lang w:val="en-US" w:eastAsia="zh-CN" w:bidi="ar-SA"/>
        </w:rPr>
        <w:t>6.密切联系同学，虚心向他人学习，敢于批评与自我批评，自觉接受广大同学的监督，能够在各方面起到表率作用；</w:t>
      </w:r>
    </w:p>
    <w:p>
      <w:pPr>
        <w:pStyle w:val="2"/>
        <w:widowControl/>
        <w:spacing w:before="0" w:beforeAutospacing="0" w:after="0" w:afterAutospacing="0" w:line="360" w:lineRule="auto"/>
        <w:ind w:left="0" w:right="0" w:firstLine="588" w:firstLineChars="245"/>
        <w:jc w:val="left"/>
        <w:rPr>
          <w:rFonts w:hint="eastAsia" w:ascii="宋体" w:hAnsi="宋体" w:cs="宋体"/>
          <w:color w:val="555555"/>
          <w:sz w:val="24"/>
          <w:szCs w:val="24"/>
          <w:lang w:val="en-US" w:eastAsia="zh-CN" w:bidi="ar-SA"/>
        </w:rPr>
      </w:pPr>
      <w:r>
        <w:rPr>
          <w:rFonts w:hint="eastAsia" w:ascii="宋体" w:hAnsi="宋体" w:cs="宋体"/>
          <w:color w:val="555555"/>
          <w:sz w:val="24"/>
          <w:szCs w:val="24"/>
          <w:lang w:val="en-US" w:eastAsia="zh-CN" w:bidi="ar-SA"/>
        </w:rPr>
        <w:t>7.工作中能够顾全大局，公道正派，务实进取，在同学中具有较高的威信和较大的影响力；</w:t>
      </w:r>
    </w:p>
    <w:p>
      <w:pPr>
        <w:pStyle w:val="2"/>
        <w:widowControl/>
        <w:spacing w:before="0" w:beforeAutospacing="0" w:after="0" w:afterAutospacing="0" w:line="360" w:lineRule="auto"/>
        <w:ind w:left="0" w:right="0" w:firstLine="588" w:firstLineChars="245"/>
        <w:jc w:val="left"/>
        <w:rPr>
          <w:rFonts w:hint="eastAsia" w:ascii="宋体" w:hAnsi="宋体" w:cs="宋体"/>
          <w:color w:val="555555"/>
          <w:sz w:val="24"/>
          <w:szCs w:val="24"/>
          <w:lang w:val="en-US" w:eastAsia="zh-CN" w:bidi="ar-SA"/>
        </w:rPr>
      </w:pPr>
      <w:r>
        <w:rPr>
          <w:rFonts w:hint="eastAsia" w:ascii="宋体" w:hAnsi="宋体" w:cs="宋体"/>
          <w:color w:val="555555"/>
          <w:sz w:val="24"/>
          <w:szCs w:val="24"/>
          <w:lang w:val="en-US" w:eastAsia="zh-CN" w:bidi="ar-SA"/>
        </w:rPr>
        <w:t>8.严格遵守学校各项规章制度，无违规违纪，未受到任何处分或通报批评。</w:t>
      </w:r>
    </w:p>
    <w:p>
      <w:pPr>
        <w:keepNext w:val="0"/>
        <w:keepLines w:val="0"/>
        <w:widowControl/>
        <w:numPr>
          <w:ilvl w:val="0"/>
          <w:numId w:val="0"/>
        </w:numPr>
        <w:suppressLineNumbers w:val="0"/>
        <w:spacing w:before="0" w:beforeAutospacing="0" w:after="120" w:afterLines="50" w:afterAutospacing="0" w:line="18" w:lineRule="atLeast"/>
        <w:ind w:right="-168" w:rightChars="0"/>
        <w:jc w:val="left"/>
        <w:rPr>
          <w:rFonts w:hint="eastAsia" w:ascii="宋体" w:hAnsi="宋体" w:cs="宋体"/>
          <w:b/>
          <w:bCs/>
          <w:color w:val="3683AF"/>
          <w:kern w:val="0"/>
          <w:sz w:val="24"/>
          <w:szCs w:val="24"/>
          <w:lang w:val="en-US" w:eastAsia="zh-CN" w:bidi="ar-SA"/>
        </w:rPr>
      </w:pPr>
    </w:p>
    <w:p>
      <w:pPr>
        <w:pStyle w:val="2"/>
        <w:widowControl/>
        <w:spacing w:before="0" w:beforeAutospacing="0" w:after="0" w:afterAutospacing="0" w:line="360" w:lineRule="auto"/>
        <w:ind w:right="0"/>
        <w:jc w:val="left"/>
        <w:rPr>
          <w:rFonts w:hint="eastAsia" w:ascii="宋体" w:hAnsi="宋体" w:cs="宋体"/>
          <w:sz w:val="24"/>
          <w:szCs w:val="24"/>
          <w:lang w:val="en-US" w:eastAsia="zh-CN" w:bidi="ar-SA"/>
        </w:rPr>
      </w:pPr>
    </w:p>
    <w:p>
      <w:pPr>
        <w:pStyle w:val="2"/>
        <w:widowControl/>
        <w:spacing w:before="0" w:beforeAutospacing="0" w:after="0" w:afterAutospacing="0" w:line="360" w:lineRule="auto"/>
        <w:ind w:left="0" w:right="0" w:firstLine="588" w:firstLineChars="245"/>
        <w:jc w:val="left"/>
        <w:rPr>
          <w:rFonts w:ascii="宋体" w:hAnsi="宋体" w:cs="宋体"/>
          <w:sz w:val="24"/>
          <w:szCs w:val="24"/>
          <w:lang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onsolas">
    <w:panose1 w:val="020B0609020204030204"/>
    <w:charset w:val="00"/>
    <w:family w:val="auto"/>
    <w:pitch w:val="default"/>
    <w:sig w:usb0="E00006FF" w:usb1="0000FCFF" w:usb2="00000001" w:usb3="00000000" w:csb0="6000019F" w:csb1="DFD7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B4FD3FC"/>
    <w:multiLevelType w:val="singleLevel"/>
    <w:tmpl w:val="AB4FD3FC"/>
    <w:lvl w:ilvl="0" w:tentative="0">
      <w:start w:val="1"/>
      <w:numFmt w:val="decimal"/>
      <w:suff w:val="nothing"/>
      <w:lvlText w:val="%1、"/>
      <w:lvlJc w:val="left"/>
    </w:lvl>
  </w:abstractNum>
  <w:abstractNum w:abstractNumId="1">
    <w:nsid w:val="B005D3B6"/>
    <w:multiLevelType w:val="singleLevel"/>
    <w:tmpl w:val="B005D3B6"/>
    <w:lvl w:ilvl="0" w:tentative="0">
      <w:start w:val="1"/>
      <w:numFmt w:val="decimal"/>
      <w:suff w:val="nothing"/>
      <w:lvlText w:val="%1、"/>
      <w:lvlJc w:val="left"/>
    </w:lvl>
  </w:abstractNum>
  <w:abstractNum w:abstractNumId="2">
    <w:nsid w:val="BCD74415"/>
    <w:multiLevelType w:val="singleLevel"/>
    <w:tmpl w:val="BCD74415"/>
    <w:lvl w:ilvl="0" w:tentative="0">
      <w:start w:val="1"/>
      <w:numFmt w:val="decimal"/>
      <w:suff w:val="nothing"/>
      <w:lvlText w:val="（%1）"/>
      <w:lvlJc w:val="left"/>
    </w:lvl>
  </w:abstractNum>
  <w:abstractNum w:abstractNumId="3">
    <w:nsid w:val="2D7EEC4F"/>
    <w:multiLevelType w:val="singleLevel"/>
    <w:tmpl w:val="2D7EEC4F"/>
    <w:lvl w:ilvl="0" w:tentative="0">
      <w:start w:val="6"/>
      <w:numFmt w:val="decimal"/>
      <w:suff w:val="nothing"/>
      <w:lvlText w:val="（%1）"/>
      <w:lvlJc w:val="left"/>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F833C9"/>
    <w:rsid w:val="07BB5323"/>
    <w:rsid w:val="185D6582"/>
    <w:rsid w:val="2E911D49"/>
    <w:rsid w:val="308D7E17"/>
    <w:rsid w:val="316016ED"/>
    <w:rsid w:val="41F833C9"/>
    <w:rsid w:val="45CC57B7"/>
    <w:rsid w:val="6D535020"/>
    <w:rsid w:val="7C1D26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0" w:after="84" w:afterAutospacing="0" w:line="18" w:lineRule="atLeast"/>
      <w:ind w:left="0" w:right="0"/>
      <w:jc w:val="left"/>
    </w:pPr>
    <w:rPr>
      <w:color w:val="555555"/>
      <w:kern w:val="0"/>
      <w:sz w:val="16"/>
      <w:szCs w:val="16"/>
      <w:lang w:val="en-US" w:eastAsia="zh-CN" w:bidi="ar"/>
    </w:rPr>
  </w:style>
  <w:style w:type="character" w:styleId="4">
    <w:name w:val="Strong"/>
    <w:basedOn w:val="3"/>
    <w:qFormat/>
    <w:uiPriority w:val="0"/>
    <w:rPr>
      <w:b/>
    </w:rPr>
  </w:style>
  <w:style w:type="character" w:styleId="5">
    <w:name w:val="FollowedHyperlink"/>
    <w:basedOn w:val="3"/>
    <w:uiPriority w:val="0"/>
    <w:rPr>
      <w:color w:val="555555"/>
      <w:u w:val="none"/>
    </w:rPr>
  </w:style>
  <w:style w:type="character" w:styleId="6">
    <w:name w:val="Hyperlink"/>
    <w:basedOn w:val="3"/>
    <w:uiPriority w:val="0"/>
    <w:rPr>
      <w:color w:val="555555"/>
      <w:u w:val="none"/>
    </w:rPr>
  </w:style>
  <w:style w:type="character" w:styleId="7">
    <w:name w:val="HTML Code"/>
    <w:basedOn w:val="3"/>
    <w:uiPriority w:val="0"/>
    <w:rPr>
      <w:rFonts w:ascii="Consolas" w:hAnsi="Consolas" w:eastAsia="Consolas" w:cs="Consolas"/>
      <w:color w:val="777777"/>
      <w:sz w:val="21"/>
      <w:szCs w:val="21"/>
      <w:shd w:val="clear" w:fill="2F3640"/>
    </w:rPr>
  </w:style>
  <w:style w:type="character" w:styleId="8">
    <w:name w:val="HTML Keyboard"/>
    <w:basedOn w:val="3"/>
    <w:uiPriority w:val="0"/>
    <w:rPr>
      <w:rFonts w:hint="default" w:ascii="Consolas" w:hAnsi="Consolas" w:eastAsia="Consolas" w:cs="Consolas"/>
      <w:sz w:val="21"/>
      <w:szCs w:val="21"/>
    </w:rPr>
  </w:style>
  <w:style w:type="character" w:styleId="9">
    <w:name w:val="HTML Sample"/>
    <w:basedOn w:val="3"/>
    <w:uiPriority w:val="0"/>
    <w:rPr>
      <w:rFonts w:hint="default" w:ascii="Consolas" w:hAnsi="Consolas" w:eastAsia="Consolas" w:cs="Consolas"/>
      <w:sz w:val="21"/>
      <w:szCs w:val="21"/>
    </w:rPr>
  </w:style>
  <w:style w:type="character" w:customStyle="1" w:styleId="11">
    <w:name w:val="date-display-end"/>
    <w:basedOn w:val="3"/>
    <w:uiPriority w:val="0"/>
    <w:rPr>
      <w:b/>
    </w:rPr>
  </w:style>
  <w:style w:type="character" w:customStyle="1" w:styleId="12">
    <w:name w:val="date-display-start"/>
    <w:basedOn w:val="3"/>
    <w:uiPriority w:val="0"/>
    <w:rPr>
      <w:b/>
    </w:rPr>
  </w:style>
  <w:style w:type="character" w:customStyle="1" w:styleId="13">
    <w:name w:val="last-child"/>
    <w:basedOn w:val="3"/>
    <w:uiPriority w:val="0"/>
  </w:style>
  <w:style w:type="character" w:customStyle="1" w:styleId="14">
    <w:name w:val="date-display-separator"/>
    <w:basedOn w:val="3"/>
    <w:uiPriority w:val="0"/>
    <w:rPr>
      <w:b/>
    </w:rPr>
  </w:style>
  <w:style w:type="character" w:customStyle="1" w:styleId="15">
    <w:name w:val="date-display-single"/>
    <w:basedOn w:val="3"/>
    <w:qFormat/>
    <w:uiPriority w:val="0"/>
    <w:rPr>
      <w:b/>
    </w:rPr>
  </w:style>
  <w:style w:type="character" w:customStyle="1" w:styleId="16">
    <w:name w:val="calendar-hour2"/>
    <w:basedOn w:val="3"/>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ll\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3</TotalTime>
  <ScaleCrop>false</ScaleCrop>
  <LinksUpToDate>false</LinksUpToDate>
  <CharactersWithSpaces>0</CharactersWithSpaces>
  <Application>WPS Office_10.1.0.7697_F1E327BC-269C-435d-A152-05C5408002CA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2018-11-08T08:44:00Z</dcterms:created>
  <dc:creator>IRite_I</dc:creator>
  <cp:lastModifiedBy>春宵贰刻</cp:lastModifiedBy>
  <dcterms:modified xsi:type="dcterms:W3CDTF">2018-12-13T03:09:37Z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2052-10.1.0.7697</vt:lpwstr>
  </property>
</Properties>
</file>