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line="360" w:lineRule="auto"/>
        <w:jc w:val="center"/>
      </w:pPr>
      <w:r>
        <w:rPr>
          <w:rStyle w:val="10"/>
          <w:rFonts w:ascii="方正小标宋简体" w:hAnsi="方正小标宋简体" w:eastAsia="方正小标宋简体" w:cs="方正小标宋简体"/>
          <w:sz w:val="34"/>
          <w:szCs w:val="34"/>
        </w:rPr>
        <w:t>201</w:t>
      </w:r>
      <w:r>
        <w:rPr>
          <w:rStyle w:val="10"/>
          <w:rFonts w:hint="eastAsia" w:ascii="方正小标宋简体" w:hAnsi="方正小标宋简体" w:eastAsia="方正小标宋简体" w:cs="方正小标宋简体"/>
          <w:sz w:val="34"/>
          <w:szCs w:val="34"/>
          <w:lang w:val="en-US" w:eastAsia="zh-CN"/>
        </w:rPr>
        <w:t>8</w:t>
      </w:r>
      <w:r>
        <w:rPr>
          <w:rStyle w:val="10"/>
          <w:rFonts w:ascii="方正小标宋简体" w:hAnsi="方正小标宋简体" w:eastAsia="方正小标宋简体" w:cs="方正小标宋简体"/>
          <w:sz w:val="34"/>
          <w:szCs w:val="34"/>
        </w:rPr>
        <w:t>-201</w:t>
      </w:r>
      <w:r>
        <w:rPr>
          <w:rStyle w:val="10"/>
          <w:rFonts w:hint="eastAsia" w:ascii="方正小标宋简体" w:hAnsi="方正小标宋简体" w:eastAsia="方正小标宋简体" w:cs="方正小标宋简体"/>
          <w:sz w:val="34"/>
          <w:szCs w:val="34"/>
          <w:lang w:val="en-US" w:eastAsia="zh-CN"/>
        </w:rPr>
        <w:t>9</w:t>
      </w:r>
      <w:r>
        <w:rPr>
          <w:rStyle w:val="10"/>
          <w:rFonts w:ascii="方正小标宋简体" w:hAnsi="方正小标宋简体" w:eastAsia="方正小标宋简体" w:cs="方正小标宋简体"/>
          <w:sz w:val="34"/>
          <w:szCs w:val="34"/>
        </w:rPr>
        <w:t>学年大气科学学院本科生</w:t>
      </w:r>
    </w:p>
    <w:p>
      <w:pPr>
        <w:pStyle w:val="8"/>
        <w:widowControl/>
        <w:spacing w:line="360" w:lineRule="auto"/>
        <w:jc w:val="center"/>
      </w:pPr>
      <w:r>
        <w:rPr>
          <w:rStyle w:val="10"/>
          <w:rFonts w:ascii="方正小标宋简体" w:hAnsi="方正小标宋简体" w:eastAsia="方正小标宋简体" w:cs="方正小标宋简体"/>
          <w:sz w:val="34"/>
          <w:szCs w:val="34"/>
        </w:rPr>
        <w:t>综合测评实施办法</w:t>
      </w:r>
    </w:p>
    <w:p>
      <w:pPr>
        <w:pStyle w:val="8"/>
        <w:widowControl/>
        <w:spacing w:line="360" w:lineRule="auto"/>
        <w:ind w:firstLine="500" w:firstLineChars="200"/>
      </w:pPr>
      <w:r>
        <w:rPr>
          <w:rFonts w:ascii="仿宋" w:hAnsi="仿宋" w:eastAsia="仿宋" w:cs="仿宋"/>
          <w:sz w:val="25"/>
          <w:szCs w:val="25"/>
        </w:rPr>
        <w:t>为鼓励学生刻苦学习专业知识、积极参加社会实践，努力成长为全面发展的优秀人才，根据《普通高等学校学生管理规定》与《中山大学本科生奖学金管理办法》的精神，结合我院实际情况，制订本办法。</w:t>
      </w:r>
    </w:p>
    <w:p>
      <w:pPr>
        <w:pStyle w:val="8"/>
        <w:widowControl/>
        <w:spacing w:before="96" w:beforeAutospacing="0" w:afterAutospacing="0" w:line="360" w:lineRule="auto"/>
        <w:jc w:val="center"/>
      </w:pPr>
      <w:r>
        <w:rPr>
          <w:rStyle w:val="10"/>
          <w:rFonts w:hint="eastAsia" w:ascii="仿宋" w:hAnsi="仿宋" w:eastAsia="仿宋" w:cs="仿宋"/>
          <w:sz w:val="25"/>
          <w:szCs w:val="25"/>
        </w:rPr>
        <w:t>第一章</w:t>
      </w:r>
      <w:r>
        <w:rPr>
          <w:rStyle w:val="10"/>
          <w:rFonts w:hint="eastAsia" w:ascii="宋体" w:hAnsi="宋体" w:eastAsia="宋体" w:cs="宋体"/>
          <w:sz w:val="25"/>
          <w:szCs w:val="25"/>
        </w:rPr>
        <w:t> </w:t>
      </w:r>
      <w:r>
        <w:rPr>
          <w:rStyle w:val="10"/>
          <w:rFonts w:hint="eastAsia" w:ascii="仿宋" w:hAnsi="仿宋" w:eastAsia="仿宋" w:cs="仿宋"/>
          <w:sz w:val="25"/>
          <w:szCs w:val="25"/>
        </w:rPr>
        <w:t>总则</w:t>
      </w:r>
    </w:p>
    <w:p>
      <w:pPr>
        <w:pStyle w:val="8"/>
        <w:widowControl/>
        <w:spacing w:before="96" w:beforeAutospacing="0" w:afterAutospacing="0" w:line="360" w:lineRule="auto"/>
      </w:pPr>
      <w:r>
        <w:rPr>
          <w:rStyle w:val="10"/>
          <w:rFonts w:hint="eastAsia" w:ascii="仿宋" w:hAnsi="仿宋" w:eastAsia="仿宋" w:cs="仿宋"/>
          <w:sz w:val="25"/>
          <w:szCs w:val="25"/>
        </w:rPr>
        <w:t>第一条</w:t>
      </w:r>
      <w:r>
        <w:rPr>
          <w:rFonts w:hint="eastAsia" w:ascii="宋体" w:hAnsi="宋体" w:eastAsia="宋体" w:cs="宋体"/>
          <w:sz w:val="25"/>
          <w:szCs w:val="25"/>
        </w:rPr>
        <w:t> </w:t>
      </w:r>
      <w:r>
        <w:rPr>
          <w:rFonts w:hint="eastAsia" w:ascii="仿宋" w:hAnsi="仿宋" w:eastAsia="仿宋" w:cs="仿宋"/>
          <w:sz w:val="25"/>
          <w:szCs w:val="25"/>
        </w:rPr>
        <w:t>本办法旨在规范我院本科学生综合测评工作，做到程序规范、内容全面、标准客观、结果公正。</w:t>
      </w:r>
    </w:p>
    <w:p>
      <w:pPr>
        <w:pStyle w:val="8"/>
        <w:widowControl/>
        <w:spacing w:before="96" w:beforeAutospacing="0" w:afterAutospacing="0" w:line="360" w:lineRule="auto"/>
      </w:pPr>
      <w:r>
        <w:rPr>
          <w:rStyle w:val="10"/>
          <w:rFonts w:hint="eastAsia" w:ascii="仿宋" w:hAnsi="仿宋" w:eastAsia="仿宋" w:cs="仿宋"/>
          <w:sz w:val="25"/>
          <w:szCs w:val="25"/>
        </w:rPr>
        <w:t>第二条</w:t>
      </w:r>
      <w:r>
        <w:rPr>
          <w:rStyle w:val="10"/>
          <w:rFonts w:hint="eastAsia" w:ascii="宋体" w:hAnsi="宋体" w:eastAsia="宋体" w:cs="宋体"/>
          <w:sz w:val="25"/>
          <w:szCs w:val="25"/>
        </w:rPr>
        <w:t> </w:t>
      </w:r>
      <w:r>
        <w:rPr>
          <w:rFonts w:hint="eastAsia" w:ascii="仿宋" w:hAnsi="仿宋" w:eastAsia="仿宋" w:cs="仿宋"/>
          <w:sz w:val="25"/>
          <w:szCs w:val="25"/>
        </w:rPr>
        <w:t>对学生进行综合测评，应遵循如下原则：一要激励学生刻苦学习专业知识与进行科研探索；二要认同学生在社会工作与参加校园文化建设等方面的成绩；三要对学生的不良行为进行警示；四要实事求是，对学生在校期间的综合表现做出公正、合理的评价。</w:t>
      </w:r>
    </w:p>
    <w:p>
      <w:pPr>
        <w:pStyle w:val="8"/>
        <w:widowControl/>
        <w:spacing w:before="96" w:beforeAutospacing="0" w:afterAutospacing="0" w:line="360" w:lineRule="auto"/>
      </w:pPr>
      <w:r>
        <w:rPr>
          <w:rStyle w:val="10"/>
          <w:rFonts w:hint="eastAsia" w:ascii="仿宋" w:hAnsi="仿宋" w:eastAsia="仿宋" w:cs="仿宋"/>
          <w:sz w:val="25"/>
          <w:szCs w:val="25"/>
        </w:rPr>
        <w:t>第三条</w:t>
      </w:r>
      <w:r>
        <w:rPr>
          <w:rFonts w:hint="eastAsia" w:ascii="宋体" w:hAnsi="宋体" w:eastAsia="宋体" w:cs="宋体"/>
          <w:sz w:val="25"/>
          <w:szCs w:val="25"/>
        </w:rPr>
        <w:t> </w:t>
      </w:r>
      <w:r>
        <w:rPr>
          <w:rFonts w:hint="eastAsia" w:ascii="仿宋" w:hAnsi="仿宋" w:eastAsia="仿宋" w:cs="仿宋"/>
          <w:sz w:val="25"/>
          <w:szCs w:val="25"/>
        </w:rPr>
        <w:t>学生每年的综合测评成绩由学业加权平均分、附加分和扣分三部分构成。</w:t>
      </w:r>
    </w:p>
    <w:p>
      <w:pPr>
        <w:pStyle w:val="8"/>
        <w:widowControl/>
        <w:spacing w:line="360" w:lineRule="auto"/>
      </w:pPr>
      <w:r>
        <w:rPr>
          <w:rFonts w:hint="eastAsia" w:ascii="宋体" w:hAnsi="宋体" w:eastAsia="宋体" w:cs="宋体"/>
          <w:sz w:val="25"/>
          <w:szCs w:val="25"/>
        </w:rPr>
        <w:t>  </w:t>
      </w:r>
      <w:r>
        <w:rPr>
          <w:rFonts w:hint="eastAsia" w:ascii="仿宋" w:hAnsi="仿宋" w:eastAsia="仿宋" w:cs="仿宋"/>
          <w:sz w:val="25"/>
          <w:szCs w:val="25"/>
        </w:rPr>
        <w:t>学业加权平均分（包括公共必修课、专业必修课、专业选修课）和综合测评成绩的计算方法如下：</w:t>
      </w:r>
    </w:p>
    <w:p>
      <w:pPr>
        <w:pStyle w:val="8"/>
        <w:widowControl/>
        <w:spacing w:line="360" w:lineRule="auto"/>
      </w:pPr>
      <w:r>
        <w:rPr>
          <w:rFonts w:hint="eastAsia" w:ascii="宋体" w:hAnsi="宋体" w:eastAsia="宋体" w:cs="宋体"/>
          <w:sz w:val="25"/>
          <w:szCs w:val="25"/>
        </w:rPr>
        <w:t xml:space="preserve">  </w:t>
      </w:r>
      <w:r>
        <w:rPr>
          <w:rFonts w:hint="eastAsia" w:ascii="仿宋" w:hAnsi="仿宋" w:eastAsia="仿宋" w:cs="仿宋"/>
          <w:sz w:val="25"/>
          <w:szCs w:val="25"/>
        </w:rPr>
        <w:t>学业加权平均分：该学生本学年所修的各科成绩为A</w:t>
      </w:r>
      <w:r>
        <w:rPr>
          <w:rFonts w:hint="eastAsia" w:ascii="仿宋" w:hAnsi="仿宋" w:eastAsia="仿宋" w:cs="仿宋"/>
          <w:sz w:val="21"/>
          <w:szCs w:val="21"/>
          <w:vertAlign w:val="subscript"/>
        </w:rPr>
        <w:t>1、</w:t>
      </w:r>
      <w:r>
        <w:rPr>
          <w:rFonts w:hint="eastAsia" w:ascii="仿宋" w:hAnsi="仿宋" w:eastAsia="仿宋" w:cs="仿宋"/>
          <w:sz w:val="25"/>
          <w:szCs w:val="25"/>
        </w:rPr>
        <w:t>A</w:t>
      </w:r>
      <w:r>
        <w:rPr>
          <w:rFonts w:hint="eastAsia" w:ascii="仿宋" w:hAnsi="仿宋" w:eastAsia="仿宋" w:cs="仿宋"/>
          <w:sz w:val="21"/>
          <w:szCs w:val="21"/>
          <w:vertAlign w:val="subscript"/>
        </w:rPr>
        <w:t>2、</w:t>
      </w:r>
      <w:r>
        <w:rPr>
          <w:rFonts w:hint="eastAsia" w:ascii="仿宋" w:hAnsi="仿宋" w:eastAsia="仿宋" w:cs="仿宋"/>
          <w:sz w:val="25"/>
          <w:szCs w:val="25"/>
        </w:rPr>
        <w:t>A</w:t>
      </w:r>
      <w:r>
        <w:rPr>
          <w:rFonts w:hint="eastAsia" w:ascii="仿宋" w:hAnsi="仿宋" w:eastAsia="仿宋" w:cs="仿宋"/>
          <w:sz w:val="21"/>
          <w:szCs w:val="21"/>
          <w:vertAlign w:val="subscript"/>
        </w:rPr>
        <w:t>3、</w:t>
      </w:r>
      <w:r>
        <w:rPr>
          <w:rFonts w:hint="eastAsia" w:ascii="仿宋" w:hAnsi="仿宋" w:eastAsia="仿宋" w:cs="仿宋"/>
          <w:sz w:val="25"/>
          <w:szCs w:val="25"/>
        </w:rPr>
        <w:t>……A</w:t>
      </w:r>
      <w:r>
        <w:rPr>
          <w:rFonts w:hint="eastAsia" w:ascii="仿宋" w:hAnsi="仿宋" w:eastAsia="仿宋" w:cs="仿宋"/>
          <w:sz w:val="21"/>
          <w:szCs w:val="21"/>
          <w:vertAlign w:val="subscript"/>
        </w:rPr>
        <w:t>n</w:t>
      </w:r>
      <w:r>
        <w:rPr>
          <w:rFonts w:hint="eastAsia" w:ascii="仿宋" w:hAnsi="仿宋" w:eastAsia="仿宋" w:cs="仿宋"/>
          <w:sz w:val="25"/>
          <w:szCs w:val="25"/>
        </w:rPr>
        <w:t>，各科相应的学分分别为B</w:t>
      </w:r>
      <w:r>
        <w:rPr>
          <w:rFonts w:hint="eastAsia" w:ascii="仿宋" w:hAnsi="仿宋" w:eastAsia="仿宋" w:cs="仿宋"/>
          <w:sz w:val="21"/>
          <w:szCs w:val="21"/>
          <w:vertAlign w:val="subscript"/>
        </w:rPr>
        <w:t>1、</w:t>
      </w:r>
      <w:r>
        <w:rPr>
          <w:rFonts w:hint="eastAsia" w:ascii="仿宋" w:hAnsi="仿宋" w:eastAsia="仿宋" w:cs="仿宋"/>
          <w:sz w:val="25"/>
          <w:szCs w:val="25"/>
        </w:rPr>
        <w:t>B</w:t>
      </w:r>
      <w:r>
        <w:rPr>
          <w:rFonts w:hint="eastAsia" w:ascii="仿宋" w:hAnsi="仿宋" w:eastAsia="仿宋" w:cs="仿宋"/>
          <w:sz w:val="21"/>
          <w:szCs w:val="21"/>
          <w:vertAlign w:val="subscript"/>
        </w:rPr>
        <w:t>2、</w:t>
      </w:r>
      <w:r>
        <w:rPr>
          <w:rFonts w:hint="eastAsia" w:ascii="仿宋" w:hAnsi="仿宋" w:eastAsia="仿宋" w:cs="仿宋"/>
          <w:sz w:val="25"/>
          <w:szCs w:val="25"/>
        </w:rPr>
        <w:t>B</w:t>
      </w:r>
      <w:r>
        <w:rPr>
          <w:rFonts w:hint="eastAsia" w:ascii="仿宋" w:hAnsi="仿宋" w:eastAsia="仿宋" w:cs="仿宋"/>
          <w:sz w:val="21"/>
          <w:szCs w:val="21"/>
          <w:vertAlign w:val="subscript"/>
        </w:rPr>
        <w:t>3、</w:t>
      </w:r>
      <w:r>
        <w:rPr>
          <w:rFonts w:hint="eastAsia" w:ascii="仿宋" w:hAnsi="仿宋" w:eastAsia="仿宋" w:cs="仿宋"/>
          <w:sz w:val="25"/>
          <w:szCs w:val="25"/>
        </w:rPr>
        <w:t>……B</w:t>
      </w:r>
      <w:r>
        <w:rPr>
          <w:rFonts w:hint="eastAsia" w:ascii="仿宋" w:hAnsi="仿宋" w:eastAsia="仿宋" w:cs="仿宋"/>
          <w:sz w:val="21"/>
          <w:szCs w:val="21"/>
          <w:vertAlign w:val="subscript"/>
        </w:rPr>
        <w:t>n</w:t>
      </w:r>
      <w:r>
        <w:rPr>
          <w:rFonts w:hint="eastAsia" w:ascii="仿宋" w:hAnsi="仿宋" w:eastAsia="仿宋" w:cs="仿宋"/>
          <w:sz w:val="25"/>
          <w:szCs w:val="25"/>
        </w:rPr>
        <w:t>，那么，学业加权平均成绩=∑(A</w:t>
      </w:r>
      <w:r>
        <w:rPr>
          <w:rFonts w:hint="eastAsia" w:ascii="仿宋" w:hAnsi="仿宋" w:eastAsia="仿宋" w:cs="仿宋"/>
          <w:sz w:val="21"/>
          <w:szCs w:val="21"/>
          <w:vertAlign w:val="subscript"/>
        </w:rPr>
        <w:t>i</w:t>
      </w:r>
      <w:r>
        <w:rPr>
          <w:rFonts w:hint="eastAsia" w:ascii="仿宋" w:hAnsi="仿宋" w:eastAsia="仿宋" w:cs="仿宋"/>
          <w:sz w:val="25"/>
          <w:szCs w:val="25"/>
        </w:rPr>
        <w:t>B</w:t>
      </w:r>
      <w:r>
        <w:rPr>
          <w:rFonts w:hint="eastAsia" w:ascii="仿宋" w:hAnsi="仿宋" w:eastAsia="仿宋" w:cs="仿宋"/>
          <w:sz w:val="21"/>
          <w:szCs w:val="21"/>
          <w:vertAlign w:val="subscript"/>
        </w:rPr>
        <w:t>i</w:t>
      </w:r>
      <w:r>
        <w:rPr>
          <w:rFonts w:hint="eastAsia" w:ascii="仿宋" w:hAnsi="仿宋" w:eastAsia="仿宋" w:cs="仿宋"/>
          <w:sz w:val="25"/>
          <w:szCs w:val="25"/>
        </w:rPr>
        <w:t>)/∑B</w:t>
      </w:r>
      <w:r>
        <w:rPr>
          <w:rFonts w:hint="eastAsia" w:ascii="仿宋" w:hAnsi="仿宋" w:eastAsia="仿宋" w:cs="仿宋"/>
          <w:sz w:val="21"/>
          <w:szCs w:val="21"/>
          <w:vertAlign w:val="subscript"/>
        </w:rPr>
        <w:t>i,</w:t>
      </w:r>
      <w:r>
        <w:rPr>
          <w:rFonts w:hint="eastAsia" w:ascii="仿宋" w:hAnsi="仿宋" w:eastAsia="仿宋" w:cs="仿宋"/>
          <w:sz w:val="25"/>
          <w:szCs w:val="25"/>
        </w:rPr>
        <w:t>(i=1,2,3, ……,n)。</w:t>
      </w:r>
    </w:p>
    <w:p>
      <w:pPr>
        <w:pStyle w:val="8"/>
        <w:widowControl/>
        <w:spacing w:line="360" w:lineRule="auto"/>
        <w:ind w:firstLine="384"/>
      </w:pPr>
      <w:r>
        <w:rPr>
          <w:rFonts w:hint="eastAsia" w:ascii="仿宋" w:hAnsi="仿宋" w:eastAsia="仿宋" w:cs="仿宋"/>
          <w:sz w:val="25"/>
          <w:szCs w:val="25"/>
        </w:rPr>
        <w:t>综合测评成绩＝学业加权平均成绩＋附加分－扣分。</w:t>
      </w:r>
    </w:p>
    <w:p>
      <w:pPr>
        <w:pStyle w:val="8"/>
        <w:widowControl/>
        <w:spacing w:line="360" w:lineRule="auto"/>
        <w:ind w:firstLine="384"/>
      </w:pPr>
      <w:r>
        <w:rPr>
          <w:rFonts w:hint="eastAsia" w:ascii="仿宋" w:hAnsi="仿宋" w:eastAsia="仿宋" w:cs="仿宋"/>
          <w:sz w:val="25"/>
          <w:szCs w:val="25"/>
        </w:rPr>
        <w:t>按照学校的相关规定，要将综合测评的成绩和附加分转换成绩点，具体方法如下：</w:t>
      </w:r>
    </w:p>
    <w:p>
      <w:pPr>
        <w:pStyle w:val="8"/>
        <w:widowControl/>
        <w:spacing w:line="360" w:lineRule="auto"/>
        <w:ind w:firstLine="384"/>
      </w:pPr>
      <w:r>
        <w:rPr>
          <w:rFonts w:hint="eastAsia" w:ascii="仿宋" w:hAnsi="仿宋" w:eastAsia="仿宋" w:cs="仿宋"/>
          <w:sz w:val="25"/>
          <w:szCs w:val="25"/>
        </w:rPr>
        <w:t>综合绩点=(学业加权平均成绩-50)/10+附加分/10-扣分/10</w:t>
      </w:r>
    </w:p>
    <w:p>
      <w:pPr>
        <w:pStyle w:val="8"/>
        <w:widowControl/>
        <w:spacing w:line="360" w:lineRule="auto"/>
        <w:ind w:firstLine="384"/>
      </w:pPr>
      <w:r>
        <w:rPr>
          <w:rFonts w:hint="eastAsia" w:ascii="仿宋" w:hAnsi="仿宋" w:eastAsia="仿宋" w:cs="仿宋"/>
          <w:sz w:val="25"/>
          <w:szCs w:val="25"/>
        </w:rPr>
        <w:t>附加分绩点=附加分/10</w:t>
      </w:r>
    </w:p>
    <w:p>
      <w:pPr>
        <w:pStyle w:val="8"/>
        <w:widowControl/>
        <w:spacing w:line="360" w:lineRule="auto"/>
        <w:ind w:firstLine="384"/>
      </w:pPr>
      <w:r>
        <w:rPr>
          <w:rFonts w:hint="eastAsia" w:ascii="仿宋" w:hAnsi="仿宋" w:eastAsia="仿宋" w:cs="仿宋"/>
          <w:sz w:val="25"/>
          <w:szCs w:val="25"/>
        </w:rPr>
        <w:t>裸绩点=(学业加权平均成绩-50)/10</w:t>
      </w:r>
    </w:p>
    <w:p>
      <w:pPr>
        <w:pStyle w:val="8"/>
        <w:widowControl/>
        <w:rPr>
          <w:rFonts w:hint="eastAsia" w:ascii="仿宋" w:hAnsi="仿宋" w:eastAsia="仿宋" w:cs="仿宋"/>
          <w:sz w:val="25"/>
          <w:szCs w:val="25"/>
        </w:rPr>
      </w:pPr>
      <w:r>
        <w:rPr>
          <w:rFonts w:hint="eastAsia" w:ascii="仿宋" w:hAnsi="仿宋" w:eastAsia="仿宋" w:cs="仿宋"/>
          <w:sz w:val="25"/>
          <w:szCs w:val="25"/>
        </w:rPr>
        <w:t>所有项目加分上限为10分，累加后超过10分的按10分计。同时，构成综合测评成绩的附加分不得超过本人裸绩点的</w:t>
      </w:r>
      <w:r>
        <w:rPr>
          <w:rFonts w:hint="eastAsia" w:ascii="仿宋" w:hAnsi="仿宋" w:eastAsia="仿宋" w:cs="仿宋"/>
          <w:sz w:val="25"/>
          <w:szCs w:val="25"/>
          <w:lang w:val="en-US" w:eastAsia="zh-CN"/>
        </w:rPr>
        <w:t>15</w:t>
      </w:r>
      <w:r>
        <w:rPr>
          <w:rFonts w:hint="eastAsia" w:ascii="仿宋" w:hAnsi="仿宋" w:eastAsia="仿宋" w:cs="仿宋"/>
          <w:sz w:val="25"/>
          <w:szCs w:val="25"/>
        </w:rPr>
        <w:t>%，超过</w:t>
      </w:r>
      <w:r>
        <w:rPr>
          <w:rFonts w:hint="eastAsia" w:ascii="仿宋" w:hAnsi="仿宋" w:eastAsia="仿宋" w:cs="仿宋"/>
          <w:sz w:val="25"/>
          <w:szCs w:val="25"/>
          <w:lang w:val="en-US" w:eastAsia="zh-CN"/>
        </w:rPr>
        <w:t>15</w:t>
      </w:r>
      <w:r>
        <w:rPr>
          <w:rFonts w:hint="eastAsia" w:ascii="仿宋" w:hAnsi="仿宋" w:eastAsia="仿宋" w:cs="仿宋"/>
          <w:sz w:val="25"/>
          <w:szCs w:val="25"/>
        </w:rPr>
        <w:t>%的以</w:t>
      </w:r>
      <w:r>
        <w:rPr>
          <w:rFonts w:hint="eastAsia" w:ascii="仿宋" w:hAnsi="仿宋" w:eastAsia="仿宋" w:cs="仿宋"/>
          <w:sz w:val="25"/>
          <w:szCs w:val="25"/>
          <w:lang w:val="en-US" w:eastAsia="zh-CN"/>
        </w:rPr>
        <w:t>15</w:t>
      </w:r>
      <w:r>
        <w:rPr>
          <w:rFonts w:hint="eastAsia" w:ascii="仿宋" w:hAnsi="仿宋" w:eastAsia="仿宋" w:cs="仿宋"/>
          <w:sz w:val="25"/>
          <w:szCs w:val="25"/>
        </w:rPr>
        <w:t>%计（举例：某学生裸绩点为5.0，则该生附加分绩点的上限是5.0*</w:t>
      </w:r>
      <w:r>
        <w:rPr>
          <w:rFonts w:hint="eastAsia" w:ascii="仿宋" w:hAnsi="仿宋" w:eastAsia="仿宋" w:cs="仿宋"/>
          <w:sz w:val="25"/>
          <w:szCs w:val="25"/>
          <w:lang w:val="en-US" w:eastAsia="zh-CN"/>
        </w:rPr>
        <w:t>15</w:t>
      </w:r>
      <w:r>
        <w:rPr>
          <w:rFonts w:hint="eastAsia" w:ascii="仿宋" w:hAnsi="仿宋" w:eastAsia="仿宋" w:cs="仿宋"/>
          <w:sz w:val="25"/>
          <w:szCs w:val="25"/>
        </w:rPr>
        <w:t>%=</w:t>
      </w:r>
      <w:r>
        <w:rPr>
          <w:rFonts w:hint="eastAsia" w:ascii="仿宋" w:hAnsi="仿宋" w:eastAsia="仿宋" w:cs="仿宋"/>
          <w:sz w:val="25"/>
          <w:szCs w:val="25"/>
          <w:lang w:val="en-US" w:eastAsia="zh-CN"/>
        </w:rPr>
        <w:t>0.75</w:t>
      </w:r>
      <w:r>
        <w:rPr>
          <w:rFonts w:hint="eastAsia" w:ascii="仿宋" w:hAnsi="仿宋" w:eastAsia="仿宋" w:cs="仿宋"/>
          <w:sz w:val="25"/>
          <w:szCs w:val="25"/>
        </w:rPr>
        <w:t>，即附加分不得超过</w:t>
      </w:r>
      <w:r>
        <w:rPr>
          <w:rFonts w:hint="eastAsia" w:ascii="仿宋" w:hAnsi="仿宋" w:eastAsia="仿宋" w:cs="仿宋"/>
          <w:sz w:val="25"/>
          <w:szCs w:val="25"/>
          <w:lang w:val="en-US" w:eastAsia="zh-CN"/>
        </w:rPr>
        <w:t>7.5</w:t>
      </w:r>
      <w:r>
        <w:rPr>
          <w:rFonts w:hint="eastAsia" w:ascii="仿宋" w:hAnsi="仿宋" w:eastAsia="仿宋" w:cs="仿宋"/>
          <w:sz w:val="25"/>
          <w:szCs w:val="25"/>
        </w:rPr>
        <w:t>分；某学生裸绩点为3.0，则该生附加分绩点的上限为3.0*</w:t>
      </w:r>
      <w:r>
        <w:rPr>
          <w:rFonts w:hint="eastAsia" w:ascii="仿宋" w:hAnsi="仿宋" w:eastAsia="仿宋" w:cs="仿宋"/>
          <w:sz w:val="25"/>
          <w:szCs w:val="25"/>
          <w:lang w:val="en-US" w:eastAsia="zh-CN"/>
        </w:rPr>
        <w:t>15</w:t>
      </w:r>
      <w:r>
        <w:rPr>
          <w:rFonts w:hint="eastAsia" w:ascii="仿宋" w:hAnsi="仿宋" w:eastAsia="仿宋" w:cs="仿宋"/>
          <w:sz w:val="25"/>
          <w:szCs w:val="25"/>
        </w:rPr>
        <w:t>%=0.</w:t>
      </w:r>
      <w:r>
        <w:rPr>
          <w:rFonts w:hint="eastAsia" w:ascii="仿宋" w:hAnsi="仿宋" w:eastAsia="仿宋" w:cs="仿宋"/>
          <w:sz w:val="25"/>
          <w:szCs w:val="25"/>
          <w:lang w:val="en-US" w:eastAsia="zh-CN"/>
        </w:rPr>
        <w:t>45</w:t>
      </w:r>
      <w:r>
        <w:rPr>
          <w:rFonts w:hint="eastAsia" w:ascii="仿宋" w:hAnsi="仿宋" w:eastAsia="仿宋" w:cs="仿宋"/>
          <w:sz w:val="25"/>
          <w:szCs w:val="25"/>
        </w:rPr>
        <w:t>，即附加分不得超过</w:t>
      </w:r>
      <w:r>
        <w:rPr>
          <w:rFonts w:hint="eastAsia" w:ascii="仿宋" w:hAnsi="仿宋" w:eastAsia="仿宋" w:cs="仿宋"/>
          <w:sz w:val="25"/>
          <w:szCs w:val="25"/>
          <w:lang w:val="en-US" w:eastAsia="zh-CN"/>
        </w:rPr>
        <w:t>4.5</w:t>
      </w:r>
      <w:r>
        <w:rPr>
          <w:rFonts w:hint="eastAsia" w:ascii="仿宋" w:hAnsi="仿宋" w:eastAsia="仿宋" w:cs="仿宋"/>
          <w:sz w:val="25"/>
          <w:szCs w:val="25"/>
        </w:rPr>
        <w:t>分。）</w:t>
      </w:r>
    </w:p>
    <w:p>
      <w:pPr>
        <w:pStyle w:val="8"/>
        <w:widowControl/>
        <w:spacing w:before="192" w:beforeAutospacing="0" w:afterAutospacing="0" w:line="360" w:lineRule="auto"/>
        <w:ind w:firstLine="384"/>
      </w:pPr>
      <w:r>
        <w:rPr>
          <w:rFonts w:hint="eastAsia" w:ascii="仿宋" w:hAnsi="仿宋" w:eastAsia="仿宋" w:cs="仿宋"/>
          <w:sz w:val="25"/>
          <w:szCs w:val="25"/>
        </w:rPr>
        <w:t> 对于派出交换生的成绩认定，按照《中山大学本科交流生学籍管理办法》第八条，结合学院教务执行。</w:t>
      </w:r>
    </w:p>
    <w:p>
      <w:pPr>
        <w:pStyle w:val="8"/>
        <w:widowControl/>
        <w:spacing w:before="96" w:beforeAutospacing="0" w:afterAutospacing="0" w:line="360" w:lineRule="auto"/>
      </w:pPr>
      <w:r>
        <w:rPr>
          <w:rStyle w:val="10"/>
          <w:rFonts w:hint="eastAsia" w:ascii="仿宋" w:hAnsi="仿宋" w:eastAsia="仿宋" w:cs="仿宋"/>
          <w:sz w:val="25"/>
          <w:szCs w:val="25"/>
        </w:rPr>
        <w:t>第四条  </w:t>
      </w:r>
      <w:r>
        <w:rPr>
          <w:rFonts w:hint="eastAsia" w:ascii="仿宋" w:hAnsi="仿宋" w:eastAsia="仿宋" w:cs="仿宋"/>
          <w:sz w:val="25"/>
          <w:szCs w:val="25"/>
        </w:rPr>
        <w:t>综合测评评选程序为如下：</w:t>
      </w:r>
    </w:p>
    <w:p>
      <w:pPr>
        <w:pStyle w:val="8"/>
        <w:widowControl/>
        <w:spacing w:before="96" w:beforeAutospacing="0" w:afterAutospacing="0" w:line="360" w:lineRule="auto"/>
        <w:ind w:firstLine="384"/>
      </w:pPr>
      <w:r>
        <w:rPr>
          <w:rFonts w:hint="eastAsia" w:ascii="仿宋" w:hAnsi="仿宋" w:eastAsia="仿宋" w:cs="仿宋"/>
          <w:sz w:val="25"/>
          <w:szCs w:val="25"/>
        </w:rPr>
        <w:t>1、个人申请</w:t>
      </w:r>
    </w:p>
    <w:p>
      <w:pPr>
        <w:pStyle w:val="8"/>
        <w:widowControl/>
        <w:spacing w:before="96" w:beforeAutospacing="0" w:afterAutospacing="0" w:line="360" w:lineRule="auto"/>
        <w:ind w:firstLine="384"/>
      </w:pPr>
      <w:r>
        <w:rPr>
          <w:rFonts w:hint="eastAsia" w:ascii="仿宋" w:hAnsi="仿宋" w:eastAsia="仿宋" w:cs="仿宋"/>
          <w:sz w:val="25"/>
          <w:szCs w:val="25"/>
        </w:rPr>
        <w:t>参评者在规定时间内向班级评定小组提出书面申请，并提供相应证明材料，未能及时提供证明材料的不进行加分，逾期不受理。班级评定小组组成参照第七条。</w:t>
      </w:r>
    </w:p>
    <w:p>
      <w:pPr>
        <w:pStyle w:val="8"/>
        <w:widowControl/>
        <w:spacing w:before="96" w:beforeAutospacing="0" w:afterAutospacing="0" w:line="360" w:lineRule="auto"/>
        <w:ind w:firstLine="384"/>
      </w:pPr>
      <w:r>
        <w:rPr>
          <w:rFonts w:hint="eastAsia" w:ascii="仿宋" w:hAnsi="仿宋" w:eastAsia="仿宋" w:cs="仿宋"/>
          <w:sz w:val="25"/>
          <w:szCs w:val="25"/>
        </w:rPr>
        <w:t>2、班级评定小组审核</w:t>
      </w:r>
    </w:p>
    <w:p>
      <w:pPr>
        <w:pStyle w:val="8"/>
        <w:widowControl/>
        <w:spacing w:before="96" w:beforeAutospacing="0" w:afterAutospacing="0" w:line="360" w:lineRule="auto"/>
        <w:ind w:firstLine="384"/>
      </w:pPr>
      <w:r>
        <w:rPr>
          <w:rFonts w:hint="eastAsia" w:ascii="仿宋" w:hAnsi="仿宋" w:eastAsia="仿宋" w:cs="仿宋"/>
          <w:sz w:val="25"/>
          <w:szCs w:val="25"/>
        </w:rPr>
        <w:t>班级评定小组根据本学年的综合测评实施办法对每位参评者的加分、减分项目进行审核，按分值高低进行排序，并公示每位参评者评分具体项目、分值，不少于三个工作日。公示无异议后，上报学院本科生年级综合测评审核小组。学院本科生年级综合测评审核小组成员组成参照第七条。</w:t>
      </w:r>
    </w:p>
    <w:p>
      <w:pPr>
        <w:pStyle w:val="8"/>
        <w:widowControl/>
        <w:spacing w:before="96" w:beforeAutospacing="0" w:afterAutospacing="0" w:line="360" w:lineRule="auto"/>
        <w:ind w:firstLine="384"/>
      </w:pPr>
      <w:r>
        <w:rPr>
          <w:rFonts w:hint="eastAsia" w:ascii="仿宋" w:hAnsi="仿宋" w:eastAsia="仿宋" w:cs="仿宋"/>
          <w:sz w:val="25"/>
          <w:szCs w:val="25"/>
        </w:rPr>
        <w:t>3、年级综合测评审核小组审核</w:t>
      </w:r>
    </w:p>
    <w:p>
      <w:pPr>
        <w:pStyle w:val="8"/>
        <w:widowControl/>
        <w:spacing w:before="96" w:beforeAutospacing="0" w:afterAutospacing="0" w:line="360" w:lineRule="auto"/>
        <w:ind w:firstLine="384"/>
      </w:pPr>
      <w:r>
        <w:rPr>
          <w:rFonts w:hint="eastAsia" w:ascii="仿宋" w:hAnsi="仿宋" w:eastAsia="仿宋" w:cs="仿宋"/>
          <w:sz w:val="25"/>
          <w:szCs w:val="25"/>
        </w:rPr>
        <w:t>年级综合测评审核小组审核根据学业加权平均成绩和公示无异议后的附加分、扣分等将各专业学生的综合测评成绩进行排序，同时根据每年奖学金的分配名额确定获奖者初评名单，并将获奖名单在年级内公示不少于三个工作日后，上报学院学生资助评审工作小组。学院学生资助评审工作小组成员组成参照第七条。</w:t>
      </w:r>
    </w:p>
    <w:p>
      <w:pPr>
        <w:pStyle w:val="8"/>
        <w:widowControl/>
        <w:spacing w:before="96" w:beforeAutospacing="0" w:afterAutospacing="0" w:line="360" w:lineRule="auto"/>
        <w:ind w:firstLine="384"/>
      </w:pPr>
      <w:r>
        <w:rPr>
          <w:rFonts w:hint="eastAsia" w:ascii="仿宋" w:hAnsi="仿宋" w:eastAsia="仿宋" w:cs="仿宋"/>
          <w:sz w:val="25"/>
          <w:szCs w:val="25"/>
        </w:rPr>
        <w:t>4、学院学生资助评审工作小组审议</w:t>
      </w:r>
    </w:p>
    <w:p>
      <w:pPr>
        <w:pStyle w:val="8"/>
        <w:widowControl/>
        <w:spacing w:before="96" w:beforeAutospacing="0" w:afterAutospacing="0" w:line="360" w:lineRule="auto"/>
        <w:ind w:firstLine="384"/>
      </w:pPr>
      <w:r>
        <w:rPr>
          <w:rFonts w:hint="eastAsia" w:ascii="仿宋" w:hAnsi="仿宋" w:eastAsia="仿宋" w:cs="仿宋"/>
          <w:sz w:val="25"/>
          <w:szCs w:val="25"/>
        </w:rPr>
        <w:t>学院学生资助评审工作小组审核完后，汇总、公示初评名单，公示无异议后，将评定结果提交到报学校审批。</w:t>
      </w:r>
    </w:p>
    <w:p>
      <w:pPr>
        <w:pStyle w:val="8"/>
        <w:widowControl/>
        <w:spacing w:before="96" w:beforeAutospacing="0" w:afterAutospacing="0" w:line="360" w:lineRule="auto"/>
      </w:pPr>
      <w:r>
        <w:rPr>
          <w:rStyle w:val="10"/>
          <w:rFonts w:hint="eastAsia" w:ascii="仿宋" w:hAnsi="仿宋" w:eastAsia="仿宋" w:cs="仿宋"/>
          <w:sz w:val="25"/>
          <w:szCs w:val="25"/>
        </w:rPr>
        <w:t>第五条</w:t>
      </w:r>
      <w:r>
        <w:rPr>
          <w:rStyle w:val="10"/>
          <w:rFonts w:hint="eastAsia" w:ascii="宋体" w:hAnsi="宋体" w:eastAsia="宋体" w:cs="宋体"/>
          <w:sz w:val="25"/>
          <w:szCs w:val="25"/>
        </w:rPr>
        <w:t> </w:t>
      </w:r>
      <w:r>
        <w:t xml:space="preserve"> </w:t>
      </w:r>
      <w:r>
        <w:rPr>
          <w:rFonts w:hint="eastAsia" w:ascii="仿宋" w:hAnsi="仿宋" w:eastAsia="仿宋" w:cs="仿宋"/>
          <w:sz w:val="25"/>
          <w:szCs w:val="25"/>
        </w:rPr>
        <w:t>优秀奖学金的参评是以专业为单位按综合测评成绩高低排序，在此基础上进行优秀学生奖学金的评选，奖学金等级原则上按综合测评名次评定。</w:t>
      </w:r>
      <w:r>
        <w:rPr>
          <w:rStyle w:val="10"/>
          <w:rFonts w:hint="eastAsia" w:ascii="仿宋" w:hAnsi="仿宋" w:eastAsia="仿宋" w:cs="仿宋"/>
          <w:sz w:val="25"/>
          <w:szCs w:val="25"/>
        </w:rPr>
        <w:t>优秀奖学金具体分配名额方法：</w:t>
      </w:r>
    </w:p>
    <w:p>
      <w:pPr>
        <w:jc w:val="left"/>
        <w:rPr>
          <w:rFonts w:hint="eastAsia" w:ascii="仿宋" w:hAnsi="仿宋" w:eastAsia="仿宋" w:cs="仿宋"/>
          <w:sz w:val="25"/>
          <w:szCs w:val="25"/>
          <w:shd w:val="clear" w:color="auto" w:fill="FFFFFF"/>
          <w:lang w:val="en-US" w:eastAsia="zh-CN"/>
        </w:rPr>
      </w:pPr>
      <w:r>
        <w:rPr>
          <w:rFonts w:hint="eastAsia" w:ascii="仿宋" w:hAnsi="仿宋" w:eastAsia="仿宋" w:cs="仿宋"/>
          <w:sz w:val="25"/>
          <w:szCs w:val="25"/>
          <w:shd w:val="clear" w:color="auto" w:fill="FFFFFF"/>
        </w:rPr>
        <w:t>  1、综合测评总成绩在专业排名前8%，具备优秀学生一等奖学金评选资格；综合测评总成绩在专业排名前20%，具备优秀学生二等奖学金评选资格；综合测评总成绩在专业排名前50%，具备优秀学生三等奖学金评选资格；专项奖学金包括学术</w:t>
      </w:r>
      <w:r>
        <w:rPr>
          <w:rFonts w:hint="eastAsia" w:ascii="仿宋" w:hAnsi="仿宋" w:eastAsia="仿宋" w:cs="仿宋"/>
          <w:sz w:val="25"/>
          <w:szCs w:val="25"/>
          <w:shd w:val="clear" w:color="auto" w:fill="FFFFFF"/>
          <w:lang w:val="en-US" w:eastAsia="zh-CN"/>
        </w:rPr>
        <w:t>科研</w:t>
      </w:r>
      <w:r>
        <w:rPr>
          <w:rFonts w:hint="eastAsia" w:ascii="仿宋" w:hAnsi="仿宋" w:eastAsia="仿宋" w:cs="仿宋"/>
          <w:sz w:val="25"/>
          <w:szCs w:val="25"/>
          <w:shd w:val="clear" w:color="auto" w:fill="FFFFFF"/>
        </w:rPr>
        <w:t>奖、</w:t>
      </w:r>
      <w:r>
        <w:rPr>
          <w:rFonts w:hint="eastAsia" w:ascii="仿宋" w:hAnsi="仿宋" w:eastAsia="仿宋" w:cs="仿宋"/>
          <w:sz w:val="25"/>
          <w:szCs w:val="25"/>
          <w:shd w:val="clear" w:color="auto" w:fill="FFFFFF"/>
          <w:lang w:val="en-US" w:eastAsia="zh-CN"/>
        </w:rPr>
        <w:t>学科竞赛</w:t>
      </w:r>
      <w:r>
        <w:rPr>
          <w:rFonts w:hint="eastAsia" w:ascii="仿宋" w:hAnsi="仿宋" w:eastAsia="仿宋" w:cs="仿宋"/>
          <w:sz w:val="25"/>
          <w:szCs w:val="25"/>
          <w:shd w:val="clear" w:color="auto" w:fill="FFFFFF"/>
        </w:rPr>
        <w:t>奖、</w:t>
      </w:r>
      <w:r>
        <w:rPr>
          <w:rFonts w:hint="eastAsia" w:ascii="仿宋" w:hAnsi="仿宋" w:eastAsia="仿宋" w:cs="仿宋"/>
          <w:sz w:val="25"/>
          <w:szCs w:val="25"/>
          <w:shd w:val="clear" w:color="auto" w:fill="FFFFFF"/>
          <w:lang w:val="en-US" w:eastAsia="zh-CN"/>
        </w:rPr>
        <w:t>学业进步</w:t>
      </w:r>
      <w:r>
        <w:rPr>
          <w:rFonts w:hint="eastAsia" w:ascii="仿宋" w:hAnsi="仿宋" w:eastAsia="仿宋" w:cs="仿宋"/>
          <w:sz w:val="25"/>
          <w:szCs w:val="25"/>
          <w:shd w:val="clear" w:color="auto" w:fill="FFFFFF"/>
        </w:rPr>
        <w:t>奖、</w:t>
      </w:r>
      <w:r>
        <w:rPr>
          <w:rFonts w:hint="eastAsia" w:ascii="仿宋" w:hAnsi="仿宋" w:eastAsia="仿宋" w:cs="仿宋"/>
          <w:sz w:val="25"/>
          <w:szCs w:val="25"/>
          <w:shd w:val="clear" w:color="auto" w:fill="FFFFFF"/>
          <w:lang w:val="en-US" w:eastAsia="zh-CN"/>
        </w:rPr>
        <w:t>文体实践</w:t>
      </w:r>
      <w:r>
        <w:rPr>
          <w:rFonts w:hint="eastAsia" w:ascii="仿宋" w:hAnsi="仿宋" w:eastAsia="仿宋" w:cs="仿宋"/>
          <w:sz w:val="25"/>
          <w:szCs w:val="25"/>
          <w:shd w:val="clear" w:color="auto" w:fill="FFFFFF"/>
        </w:rPr>
        <w:t>奖</w:t>
      </w:r>
      <w:r>
        <w:rPr>
          <w:rFonts w:hint="eastAsia" w:ascii="仿宋" w:hAnsi="仿宋" w:eastAsia="仿宋" w:cs="仿宋"/>
          <w:sz w:val="25"/>
          <w:szCs w:val="25"/>
          <w:shd w:val="clear" w:color="auto" w:fill="FFFFFF"/>
          <w:lang w:eastAsia="zh-CN"/>
        </w:rPr>
        <w:t>、</w:t>
      </w:r>
      <w:r>
        <w:rPr>
          <w:rFonts w:hint="eastAsia" w:ascii="仿宋" w:hAnsi="仿宋" w:eastAsia="仿宋" w:cs="仿宋"/>
          <w:sz w:val="25"/>
          <w:szCs w:val="25"/>
          <w:shd w:val="clear" w:color="auto" w:fill="FFFFFF"/>
          <w:lang w:val="en-US" w:eastAsia="zh-CN"/>
        </w:rPr>
        <w:t>道德风尚奖和笃行干部奖，评选按照《大气科学学院2018-2019学年专项奖学金评选办法》执行。</w:t>
      </w:r>
    </w:p>
    <w:p>
      <w:pPr>
        <w:pStyle w:val="8"/>
        <w:widowControl/>
        <w:spacing w:before="96" w:beforeAutospacing="0" w:afterAutospacing="0" w:line="360" w:lineRule="auto"/>
        <w:ind w:firstLine="384"/>
      </w:pPr>
      <w:r>
        <w:rPr>
          <w:rFonts w:hint="eastAsia" w:ascii="仿宋" w:hAnsi="仿宋" w:eastAsia="仿宋" w:cs="仿宋"/>
          <w:sz w:val="25"/>
          <w:szCs w:val="25"/>
        </w:rPr>
        <w:t>2、</w:t>
      </w:r>
      <w:r>
        <w:rPr>
          <w:rFonts w:hint="eastAsia" w:ascii="仿宋" w:hAnsi="仿宋" w:eastAsia="仿宋" w:cs="仿宋"/>
          <w:sz w:val="25"/>
          <w:szCs w:val="25"/>
          <w:shd w:val="clear" w:color="auto" w:fill="FFFFFF"/>
        </w:rPr>
        <w:t>获优秀学生奖学金的人数不超过本院（系）参评总人数的30%，其中获一等奖学金的人数不得超过本专业参评总人数的5%，获二等奖学金的人数不超过本专业参评总人数的10%，获三等奖学金的人数不超过本专业参评总数的15%。获专项奖学金的人数不超过</w:t>
      </w:r>
      <w:r>
        <w:rPr>
          <w:rFonts w:hint="eastAsia" w:ascii="仿宋" w:hAnsi="仿宋" w:eastAsia="仿宋" w:cs="仿宋"/>
          <w:sz w:val="25"/>
          <w:szCs w:val="25"/>
          <w:shd w:val="clear" w:color="auto" w:fill="FFFFFF"/>
          <w:lang w:val="en-US" w:eastAsia="zh-CN"/>
        </w:rPr>
        <w:t>10人</w:t>
      </w:r>
      <w:r>
        <w:rPr>
          <w:rFonts w:hint="eastAsia" w:ascii="仿宋" w:hAnsi="仿宋" w:eastAsia="仿宋" w:cs="仿宋"/>
          <w:sz w:val="25"/>
          <w:szCs w:val="25"/>
          <w:shd w:val="clear" w:color="auto" w:fill="FFFFFF"/>
        </w:rPr>
        <w:t>，其中</w:t>
      </w:r>
      <w:r>
        <w:rPr>
          <w:rFonts w:hint="eastAsia" w:ascii="仿宋" w:hAnsi="仿宋" w:eastAsia="仿宋" w:cs="仿宋"/>
          <w:sz w:val="25"/>
          <w:szCs w:val="25"/>
          <w:shd w:val="clear" w:color="auto" w:fill="FFFFFF"/>
          <w:lang w:val="en-US" w:eastAsia="zh-CN"/>
        </w:rPr>
        <w:t>获得</w:t>
      </w:r>
      <w:r>
        <w:rPr>
          <w:rFonts w:hint="eastAsia" w:ascii="仿宋" w:hAnsi="仿宋" w:eastAsia="仿宋" w:cs="仿宋"/>
          <w:sz w:val="25"/>
          <w:szCs w:val="25"/>
          <w:shd w:val="clear" w:color="auto" w:fill="FFFFFF"/>
        </w:rPr>
        <w:t>学术</w:t>
      </w:r>
      <w:r>
        <w:rPr>
          <w:rFonts w:hint="eastAsia" w:ascii="仿宋" w:hAnsi="仿宋" w:eastAsia="仿宋" w:cs="仿宋"/>
          <w:sz w:val="25"/>
          <w:szCs w:val="25"/>
          <w:shd w:val="clear" w:color="auto" w:fill="FFFFFF"/>
          <w:lang w:val="en-US" w:eastAsia="zh-CN"/>
        </w:rPr>
        <w:t>科研</w:t>
      </w:r>
      <w:r>
        <w:rPr>
          <w:rFonts w:hint="eastAsia" w:ascii="仿宋" w:hAnsi="仿宋" w:eastAsia="仿宋" w:cs="仿宋"/>
          <w:sz w:val="25"/>
          <w:szCs w:val="25"/>
          <w:shd w:val="clear" w:color="auto" w:fill="FFFFFF"/>
        </w:rPr>
        <w:t>奖</w:t>
      </w:r>
      <w:r>
        <w:rPr>
          <w:rFonts w:hint="eastAsia" w:ascii="仿宋" w:hAnsi="仿宋" w:eastAsia="仿宋" w:cs="仿宋"/>
          <w:sz w:val="25"/>
          <w:szCs w:val="25"/>
          <w:shd w:val="clear" w:color="auto" w:fill="FFFFFF"/>
          <w:lang w:eastAsia="zh-CN"/>
        </w:rPr>
        <w:t>、</w:t>
      </w:r>
      <w:r>
        <w:rPr>
          <w:rFonts w:hint="eastAsia" w:ascii="仿宋" w:hAnsi="仿宋" w:eastAsia="仿宋" w:cs="仿宋"/>
          <w:sz w:val="25"/>
          <w:szCs w:val="25"/>
          <w:shd w:val="clear" w:color="auto" w:fill="FFFFFF"/>
        </w:rPr>
        <w:t>学科竞赛奖、学业进步奖</w:t>
      </w:r>
      <w:r>
        <w:rPr>
          <w:rFonts w:hint="eastAsia" w:ascii="仿宋" w:hAnsi="仿宋" w:eastAsia="仿宋" w:cs="仿宋"/>
          <w:sz w:val="25"/>
          <w:szCs w:val="25"/>
          <w:shd w:val="clear" w:color="auto" w:fill="FFFFFF"/>
          <w:lang w:eastAsia="zh-CN"/>
        </w:rPr>
        <w:t>、</w:t>
      </w:r>
      <w:r>
        <w:rPr>
          <w:rFonts w:hint="eastAsia" w:ascii="仿宋" w:hAnsi="仿宋" w:eastAsia="仿宋" w:cs="仿宋"/>
          <w:sz w:val="25"/>
          <w:szCs w:val="25"/>
          <w:shd w:val="clear" w:color="auto" w:fill="FFFFFF"/>
          <w:lang w:val="en-US" w:eastAsia="zh-CN"/>
        </w:rPr>
        <w:t>文体实践奖、</w:t>
      </w:r>
      <w:r>
        <w:rPr>
          <w:rFonts w:hint="eastAsia" w:ascii="仿宋" w:hAnsi="仿宋" w:eastAsia="仿宋" w:cs="仿宋"/>
          <w:sz w:val="25"/>
          <w:szCs w:val="25"/>
          <w:shd w:val="clear" w:color="auto" w:fill="FFFFFF"/>
        </w:rPr>
        <w:t>道德风尚奖、</w:t>
      </w:r>
      <w:r>
        <w:rPr>
          <w:rFonts w:hint="eastAsia" w:ascii="仿宋" w:hAnsi="仿宋" w:eastAsia="仿宋" w:cs="仿宋"/>
          <w:sz w:val="25"/>
          <w:szCs w:val="25"/>
          <w:shd w:val="clear" w:color="auto" w:fill="FFFFFF"/>
          <w:lang w:val="en-US" w:eastAsia="zh-CN"/>
        </w:rPr>
        <w:t>笃行干部奖</w:t>
      </w:r>
      <w:r>
        <w:rPr>
          <w:rFonts w:hint="eastAsia" w:ascii="仿宋" w:hAnsi="仿宋" w:eastAsia="仿宋" w:cs="仿宋"/>
          <w:sz w:val="25"/>
          <w:szCs w:val="25"/>
          <w:shd w:val="clear" w:color="auto" w:fill="FFFFFF"/>
        </w:rPr>
        <w:t>评定</w:t>
      </w:r>
      <w:r>
        <w:rPr>
          <w:rFonts w:hint="eastAsia" w:ascii="仿宋" w:hAnsi="仿宋" w:eastAsia="仿宋" w:cs="仿宋"/>
          <w:sz w:val="25"/>
          <w:szCs w:val="25"/>
          <w:shd w:val="clear" w:color="auto" w:fill="FFFFFF"/>
          <w:lang w:val="en-US" w:eastAsia="zh-CN"/>
        </w:rPr>
        <w:t>人数</w:t>
      </w:r>
      <w:r>
        <w:rPr>
          <w:rFonts w:hint="eastAsia" w:ascii="仿宋" w:hAnsi="仿宋" w:eastAsia="仿宋" w:cs="仿宋"/>
          <w:sz w:val="25"/>
          <w:szCs w:val="25"/>
          <w:shd w:val="clear" w:color="auto" w:fill="FFFFFF"/>
        </w:rPr>
        <w:t>分别不超过</w:t>
      </w:r>
      <w:r>
        <w:rPr>
          <w:rFonts w:hint="eastAsia" w:ascii="仿宋" w:hAnsi="仿宋" w:eastAsia="仿宋" w:cs="仿宋"/>
          <w:sz w:val="25"/>
          <w:szCs w:val="25"/>
          <w:shd w:val="clear" w:color="auto" w:fill="FFFFFF"/>
          <w:lang w:val="en-US" w:eastAsia="zh-CN"/>
        </w:rPr>
        <w:t>1、1、3、2、1、2人</w:t>
      </w:r>
      <w:r>
        <w:rPr>
          <w:rFonts w:hint="eastAsia" w:ascii="仿宋" w:hAnsi="仿宋" w:eastAsia="仿宋" w:cs="仿宋"/>
          <w:sz w:val="25"/>
          <w:szCs w:val="25"/>
          <w:shd w:val="clear" w:color="auto" w:fill="FFFFFF"/>
        </w:rPr>
        <w:t>。学院（系）最多可推荐10</w:t>
      </w:r>
      <w:r>
        <w:rPr>
          <w:rFonts w:hint="eastAsia" w:ascii="仿宋" w:hAnsi="仿宋" w:eastAsia="仿宋" w:cs="仿宋"/>
          <w:sz w:val="25"/>
          <w:szCs w:val="25"/>
          <w:shd w:val="clear" w:color="auto" w:fill="FFFFFF"/>
          <w:lang w:val="en-US" w:eastAsia="zh-CN"/>
        </w:rPr>
        <w:t>名</w:t>
      </w:r>
      <w:r>
        <w:rPr>
          <w:rFonts w:hint="eastAsia" w:ascii="仿宋" w:hAnsi="仿宋" w:eastAsia="仿宋" w:cs="仿宋"/>
          <w:sz w:val="25"/>
          <w:szCs w:val="25"/>
          <w:shd w:val="clear" w:color="auto" w:fill="FFFFFF"/>
        </w:rPr>
        <w:t>候选人参评，其中学术创新奖推荐人数不超过</w:t>
      </w:r>
      <w:r>
        <w:rPr>
          <w:rFonts w:hint="eastAsia" w:ascii="仿宋" w:hAnsi="仿宋" w:eastAsia="仿宋" w:cs="仿宋"/>
          <w:sz w:val="25"/>
          <w:szCs w:val="25"/>
          <w:shd w:val="clear" w:color="auto" w:fill="FFFFFF"/>
          <w:lang w:val="en-US" w:eastAsia="zh-CN"/>
        </w:rPr>
        <w:t>1人</w:t>
      </w:r>
      <w:r>
        <w:rPr>
          <w:rFonts w:hint="eastAsia" w:ascii="仿宋" w:hAnsi="仿宋" w:eastAsia="仿宋" w:cs="仿宋"/>
          <w:sz w:val="25"/>
          <w:szCs w:val="25"/>
          <w:shd w:val="clear" w:color="auto" w:fill="FFFFFF"/>
        </w:rPr>
        <w:t>，学科竞赛奖、学业进步奖</w:t>
      </w:r>
      <w:r>
        <w:rPr>
          <w:rFonts w:hint="eastAsia" w:ascii="仿宋" w:hAnsi="仿宋" w:eastAsia="仿宋" w:cs="仿宋"/>
          <w:sz w:val="25"/>
          <w:szCs w:val="25"/>
          <w:shd w:val="clear" w:color="auto" w:fill="FFFFFF"/>
          <w:lang w:eastAsia="zh-CN"/>
        </w:rPr>
        <w:t>、</w:t>
      </w:r>
      <w:r>
        <w:rPr>
          <w:rFonts w:hint="eastAsia" w:ascii="仿宋" w:hAnsi="仿宋" w:eastAsia="仿宋" w:cs="仿宋"/>
          <w:sz w:val="25"/>
          <w:szCs w:val="25"/>
          <w:shd w:val="clear" w:color="auto" w:fill="FFFFFF"/>
          <w:lang w:val="en-US" w:eastAsia="zh-CN"/>
        </w:rPr>
        <w:t>文体实践奖、</w:t>
      </w:r>
      <w:r>
        <w:rPr>
          <w:rFonts w:hint="eastAsia" w:ascii="仿宋" w:hAnsi="仿宋" w:eastAsia="仿宋" w:cs="仿宋"/>
          <w:sz w:val="25"/>
          <w:szCs w:val="25"/>
          <w:shd w:val="clear" w:color="auto" w:fill="FFFFFF"/>
        </w:rPr>
        <w:t>道德风尚奖、</w:t>
      </w:r>
      <w:r>
        <w:rPr>
          <w:rFonts w:hint="eastAsia" w:ascii="仿宋" w:hAnsi="仿宋" w:eastAsia="仿宋" w:cs="仿宋"/>
          <w:sz w:val="25"/>
          <w:szCs w:val="25"/>
          <w:shd w:val="clear" w:color="auto" w:fill="FFFFFF"/>
          <w:lang w:val="en-US" w:eastAsia="zh-CN"/>
        </w:rPr>
        <w:t>笃行干部奖</w:t>
      </w:r>
      <w:r>
        <w:rPr>
          <w:rFonts w:hint="eastAsia" w:ascii="仿宋" w:hAnsi="仿宋" w:eastAsia="仿宋" w:cs="仿宋"/>
          <w:sz w:val="25"/>
          <w:szCs w:val="25"/>
          <w:shd w:val="clear" w:color="auto" w:fill="FFFFFF"/>
        </w:rPr>
        <w:t>评定</w:t>
      </w:r>
      <w:r>
        <w:rPr>
          <w:rFonts w:hint="eastAsia" w:ascii="仿宋" w:hAnsi="仿宋" w:eastAsia="仿宋" w:cs="仿宋"/>
          <w:sz w:val="25"/>
          <w:szCs w:val="25"/>
          <w:shd w:val="clear" w:color="auto" w:fill="FFFFFF"/>
          <w:lang w:val="en-US" w:eastAsia="zh-CN"/>
        </w:rPr>
        <w:t>人数</w:t>
      </w:r>
      <w:r>
        <w:rPr>
          <w:rFonts w:hint="eastAsia" w:ascii="仿宋" w:hAnsi="仿宋" w:eastAsia="仿宋" w:cs="仿宋"/>
          <w:sz w:val="25"/>
          <w:szCs w:val="25"/>
          <w:shd w:val="clear" w:color="auto" w:fill="FFFFFF"/>
        </w:rPr>
        <w:t>分别不超过</w:t>
      </w:r>
      <w:r>
        <w:rPr>
          <w:rFonts w:hint="eastAsia" w:ascii="仿宋" w:hAnsi="仿宋" w:eastAsia="仿宋" w:cs="仿宋"/>
          <w:sz w:val="25"/>
          <w:szCs w:val="25"/>
          <w:shd w:val="clear" w:color="auto" w:fill="FFFFFF"/>
          <w:lang w:val="en-US" w:eastAsia="zh-CN"/>
        </w:rPr>
        <w:t>1、3、2、1、2人</w:t>
      </w:r>
      <w:r>
        <w:rPr>
          <w:rFonts w:hint="eastAsia" w:ascii="仿宋" w:hAnsi="仿宋" w:eastAsia="仿宋" w:cs="仿宋"/>
          <w:sz w:val="25"/>
          <w:szCs w:val="25"/>
          <w:shd w:val="clear" w:color="auto" w:fill="FFFFFF"/>
        </w:rPr>
        <w:t>。获得优秀学生奖学金和中山大学励志奖学金的学生，如同时获评专项奖学金，可兼得荣誉，奖励金按单项最高金额发放。</w:t>
      </w:r>
      <w:r>
        <w:rPr>
          <w:rFonts w:hint="eastAsia" w:ascii="仿宋" w:hAnsi="仿宋" w:eastAsia="仿宋" w:cs="仿宋"/>
          <w:sz w:val="25"/>
          <w:szCs w:val="25"/>
        </w:rPr>
        <w:t>每年具体分配名额以当年各班人数作参考，具体名额将以当年学院网的通知为准。</w:t>
      </w:r>
    </w:p>
    <w:p>
      <w:pPr>
        <w:pStyle w:val="8"/>
        <w:widowControl/>
        <w:spacing w:before="96" w:beforeAutospacing="0" w:afterAutospacing="0" w:line="360" w:lineRule="auto"/>
        <w:ind w:firstLine="384"/>
      </w:pPr>
      <w:r>
        <w:rPr>
          <w:rFonts w:hint="eastAsia" w:ascii="仿宋" w:hAnsi="仿宋" w:eastAsia="仿宋" w:cs="仿宋"/>
          <w:sz w:val="25"/>
          <w:szCs w:val="25"/>
        </w:rPr>
        <w:t>3、</w:t>
      </w:r>
      <w:r>
        <w:rPr>
          <w:rFonts w:hint="eastAsia" w:ascii="仿宋" w:hAnsi="仿宋" w:eastAsia="仿宋" w:cs="仿宋"/>
          <w:sz w:val="25"/>
          <w:szCs w:val="25"/>
          <w:shd w:val="clear" w:color="auto" w:fill="FFFFFF"/>
        </w:rPr>
        <w:t>学籍在我校的交换生因接受交换学校的原因未能在9月奖学金评选前完成全部学分转换的，且满足下列条件的，可参评针对交换生的优秀学生奖学金：</w:t>
      </w:r>
    </w:p>
    <w:p>
      <w:pPr>
        <w:pStyle w:val="8"/>
        <w:widowControl/>
        <w:spacing w:before="96" w:beforeAutospacing="0" w:afterAutospacing="0" w:line="360" w:lineRule="auto"/>
      </w:pPr>
      <w:r>
        <w:rPr>
          <w:rFonts w:hint="eastAsia" w:ascii="仿宋" w:hAnsi="仿宋" w:eastAsia="仿宋" w:cs="仿宋"/>
          <w:sz w:val="25"/>
          <w:szCs w:val="25"/>
        </w:rPr>
        <w:t xml:space="preserve">（一）  </w:t>
      </w:r>
      <w:r>
        <w:rPr>
          <w:rFonts w:hint="eastAsia" w:ascii="仿宋" w:hAnsi="仿宋" w:eastAsia="仿宋" w:cs="仿宋"/>
          <w:sz w:val="25"/>
          <w:szCs w:val="25"/>
          <w:shd w:val="clear" w:color="auto" w:fill="FFFFFF"/>
        </w:rPr>
        <w:t>申请参评时，已完成全部交换学习学分的转换；</w:t>
      </w:r>
    </w:p>
    <w:p>
      <w:pPr>
        <w:pStyle w:val="8"/>
        <w:widowControl/>
        <w:spacing w:before="96" w:beforeAutospacing="0" w:afterAutospacing="0" w:line="360" w:lineRule="auto"/>
      </w:pPr>
      <w:r>
        <w:rPr>
          <w:rFonts w:hint="eastAsia" w:ascii="仿宋" w:hAnsi="仿宋" w:eastAsia="仿宋" w:cs="仿宋"/>
          <w:sz w:val="25"/>
          <w:szCs w:val="25"/>
        </w:rPr>
        <w:t xml:space="preserve">（二）  </w:t>
      </w:r>
      <w:r>
        <w:rPr>
          <w:rFonts w:hint="eastAsia" w:ascii="仿宋" w:hAnsi="仿宋" w:eastAsia="仿宋" w:cs="仿宋"/>
          <w:sz w:val="25"/>
          <w:szCs w:val="25"/>
          <w:shd w:val="clear" w:color="auto" w:fill="FFFFFF"/>
        </w:rPr>
        <w:t>遵守交换学校的各项规章制度。</w:t>
      </w:r>
    </w:p>
    <w:p>
      <w:pPr>
        <w:pStyle w:val="8"/>
        <w:widowControl/>
        <w:spacing w:before="96" w:beforeAutospacing="0" w:afterAutospacing="0" w:line="360" w:lineRule="auto"/>
        <w:ind w:firstLine="516"/>
      </w:pPr>
      <w:r>
        <w:rPr>
          <w:rFonts w:hint="eastAsia" w:ascii="仿宋" w:hAnsi="仿宋" w:eastAsia="仿宋" w:cs="仿宋"/>
          <w:sz w:val="25"/>
          <w:szCs w:val="25"/>
          <w:shd w:val="clear" w:color="auto" w:fill="FFFFFF"/>
        </w:rPr>
        <w:t>交换生参评中山大学优秀学生奖学金依据申请者参评奖学金学年度的综合测评成绩在奖学金评选单位的排名确定其获奖等级。申请参评学生的综合测评成绩等于或者超过奖学金评选单位某等级优秀学生奖学金综合测评成绩的最低成绩，可申请获得同等级优秀学生奖学金。</w:t>
      </w:r>
    </w:p>
    <w:p>
      <w:pPr>
        <w:pStyle w:val="8"/>
        <w:widowControl/>
        <w:spacing w:beforeAutospacing="0" w:afterAutospacing="0"/>
        <w:rPr>
          <w:rFonts w:hint="eastAsia" w:ascii="仿宋" w:hAnsi="仿宋" w:eastAsia="仿宋" w:cs="仿宋"/>
          <w:sz w:val="25"/>
          <w:szCs w:val="25"/>
        </w:rPr>
      </w:pPr>
      <w:r>
        <w:rPr>
          <w:rStyle w:val="10"/>
          <w:rFonts w:hint="eastAsia" w:ascii="仿宋" w:hAnsi="仿宋" w:eastAsia="仿宋" w:cs="仿宋"/>
          <w:sz w:val="25"/>
          <w:szCs w:val="25"/>
        </w:rPr>
        <w:t>第六条</w:t>
      </w:r>
      <w:r>
        <w:rPr>
          <w:rFonts w:hint="eastAsia" w:ascii="仿宋" w:hAnsi="仿宋" w:eastAsia="仿宋" w:cs="仿宋"/>
          <w:sz w:val="25"/>
          <w:szCs w:val="25"/>
        </w:rPr>
        <w:t>  申请奖学金的学生必须具备以下条件：</w:t>
      </w:r>
    </w:p>
    <w:p>
      <w:pPr>
        <w:pStyle w:val="8"/>
        <w:widowControl/>
        <w:spacing w:beforeAutospacing="0" w:afterAutospacing="0"/>
      </w:pPr>
      <w:r>
        <w:rPr>
          <w:rFonts w:hint="eastAsia" w:ascii="仿宋" w:hAnsi="仿宋" w:eastAsia="仿宋" w:cs="仿宋"/>
          <w:sz w:val="25"/>
          <w:szCs w:val="25"/>
        </w:rPr>
        <w:t>1、 具有坚定正确的政治方向，热爱祖国，拥护中国共产党的领导；</w:t>
      </w:r>
    </w:p>
    <w:p>
      <w:pPr>
        <w:pStyle w:val="8"/>
        <w:widowControl/>
        <w:spacing w:beforeAutospacing="0" w:afterAutospacing="0"/>
      </w:pPr>
      <w:r>
        <w:rPr>
          <w:rFonts w:hint="eastAsia" w:ascii="仿宋" w:hAnsi="仿宋" w:eastAsia="仿宋" w:cs="仿宋"/>
          <w:sz w:val="25"/>
          <w:szCs w:val="25"/>
        </w:rPr>
        <w:t>2、 遵纪守法，评选年度未收到任何纪律处分；评奖年度受处分且下一年度解除处分的，只影响本年度评奖，不影响下一年度评奖；</w:t>
      </w:r>
    </w:p>
    <w:p>
      <w:pPr>
        <w:pStyle w:val="8"/>
        <w:widowControl/>
        <w:spacing w:beforeAutospacing="0" w:afterAutospacing="0"/>
      </w:pPr>
      <w:r>
        <w:rPr>
          <w:rFonts w:hint="eastAsia" w:ascii="仿宋" w:hAnsi="仿宋" w:eastAsia="仿宋" w:cs="仿宋"/>
          <w:sz w:val="25"/>
          <w:szCs w:val="25"/>
        </w:rPr>
        <w:t>3、 学习成绩优良，教务系统上的所有科目（包括公必、公选、专必和专选课程）在参评年度内无第一次考试不及格科目；</w:t>
      </w:r>
    </w:p>
    <w:p>
      <w:pPr>
        <w:pStyle w:val="8"/>
        <w:widowControl/>
        <w:spacing w:beforeAutospacing="0" w:afterAutospacing="0"/>
      </w:pPr>
      <w:r>
        <w:rPr>
          <w:rFonts w:hint="eastAsia" w:ascii="仿宋" w:hAnsi="仿宋" w:eastAsia="仿宋" w:cs="仿宋"/>
          <w:sz w:val="25"/>
          <w:szCs w:val="25"/>
        </w:rPr>
        <w:t>4、 诚实守信，没有无故欠缴学费、住宿费和水电费；</w:t>
      </w:r>
    </w:p>
    <w:p>
      <w:pPr>
        <w:pStyle w:val="8"/>
        <w:widowControl/>
        <w:spacing w:beforeAutospacing="0" w:afterAutospacing="0"/>
      </w:pPr>
      <w:r>
        <w:rPr>
          <w:rFonts w:hint="eastAsia" w:ascii="仿宋" w:hAnsi="仿宋" w:eastAsia="仿宋" w:cs="仿宋"/>
          <w:sz w:val="25"/>
          <w:szCs w:val="25"/>
        </w:rPr>
        <w:t>5、 关心集体、团结同学、热心助人，积极参加学校、班级、宿舍等集体活动；</w:t>
      </w:r>
    </w:p>
    <w:p>
      <w:pPr>
        <w:pStyle w:val="8"/>
        <w:widowControl/>
        <w:spacing w:beforeAutospacing="0" w:afterAutospacing="0"/>
      </w:pPr>
      <w:r>
        <w:rPr>
          <w:rFonts w:hint="eastAsia" w:ascii="仿宋" w:hAnsi="仿宋" w:eastAsia="仿宋" w:cs="仿宋"/>
          <w:sz w:val="25"/>
          <w:szCs w:val="25"/>
        </w:rPr>
        <w:t>6、 积极参加公益活动，在评选期内必须有</w:t>
      </w:r>
      <w:r>
        <w:rPr>
          <w:rFonts w:hint="eastAsia" w:ascii="仿宋" w:hAnsi="仿宋" w:eastAsia="仿宋" w:cs="仿宋"/>
          <w:sz w:val="25"/>
          <w:szCs w:val="25"/>
          <w:lang w:val="en-US" w:eastAsia="zh-CN"/>
        </w:rPr>
        <w:t>20个或以上的</w:t>
      </w:r>
      <w:r>
        <w:rPr>
          <w:rFonts w:hint="eastAsia" w:ascii="仿宋" w:hAnsi="仿宋" w:eastAsia="仿宋" w:cs="仿宋"/>
          <w:sz w:val="25"/>
          <w:szCs w:val="25"/>
        </w:rPr>
        <w:t>公益时记录和证明；</w:t>
      </w:r>
    </w:p>
    <w:p>
      <w:pPr>
        <w:pStyle w:val="8"/>
        <w:widowControl/>
        <w:spacing w:beforeAutospacing="0" w:afterAutospacing="0"/>
      </w:pPr>
      <w:r>
        <w:rPr>
          <w:rFonts w:hint="eastAsia" w:ascii="仿宋" w:hAnsi="仿宋" w:eastAsia="仿宋" w:cs="仿宋"/>
          <w:sz w:val="25"/>
          <w:szCs w:val="25"/>
        </w:rPr>
        <w:t>7、 积极参加体育锻炼，努力实施《国家体育锻炼标准》，学生体质健康测试合格；若已申请体测缓测或免测的需提交相关证明（无故不参加体测者以及体测不达标者不得参评）。</w:t>
      </w:r>
    </w:p>
    <w:p>
      <w:pPr>
        <w:pStyle w:val="8"/>
        <w:widowControl/>
        <w:spacing w:beforeAutospacing="0" w:afterAutospacing="0"/>
      </w:pPr>
      <w:r>
        <w:rPr>
          <w:rFonts w:hint="eastAsia" w:ascii="仿宋" w:hAnsi="仿宋" w:eastAsia="仿宋" w:cs="仿宋"/>
          <w:sz w:val="25"/>
          <w:szCs w:val="25"/>
        </w:rPr>
        <w:t>8、一年级新生必须按入学要求参加军训，无法参加军训者需提交相关证明，未经批准不参加军训者不得参评。</w:t>
      </w:r>
    </w:p>
    <w:p>
      <w:pPr>
        <w:pStyle w:val="8"/>
        <w:widowControl/>
        <w:spacing w:beforeAutospacing="0" w:afterAutospacing="0"/>
      </w:pPr>
      <w:r>
        <w:rPr>
          <w:rFonts w:hint="eastAsia" w:ascii="仿宋" w:hAnsi="仿宋" w:eastAsia="仿宋" w:cs="仿宋"/>
          <w:sz w:val="25"/>
          <w:szCs w:val="25"/>
        </w:rPr>
        <w:t>9、若有缓考科目，在指定的评选时间内未公布成绩的同学，须由缓考学生本人提出申请，经班级评定小组、年级综合测评审核小组和学院学生资助评审小组审议，通过后，公示参评资格，经公示无异议后，该缓考科目不参与学业加权平均成绩的计算，但列入下学年度奖学金评选。</w:t>
      </w:r>
    </w:p>
    <w:p>
      <w:pPr>
        <w:pStyle w:val="8"/>
        <w:widowControl/>
      </w:pPr>
      <w:r>
        <w:rPr>
          <w:rFonts w:hint="eastAsia" w:ascii="仿宋" w:hAnsi="仿宋" w:eastAsia="仿宋" w:cs="仿宋"/>
          <w:sz w:val="25"/>
          <w:szCs w:val="25"/>
        </w:rPr>
        <w:t>交换生交换期间修的课程以及交换期间缓考出成绩的课程无法完全和学院规定必修和指定课程对应，则不能参评。</w:t>
      </w:r>
    </w:p>
    <w:p>
      <w:pPr>
        <w:pStyle w:val="8"/>
        <w:widowControl/>
        <w:spacing w:beforeAutospacing="0" w:afterAutospacing="0"/>
        <w:ind w:firstLine="500" w:firstLineChars="200"/>
      </w:pPr>
      <w:r>
        <w:rPr>
          <w:rFonts w:hint="eastAsia" w:ascii="仿宋" w:hAnsi="仿宋" w:eastAsia="仿宋" w:cs="仿宋"/>
          <w:sz w:val="25"/>
          <w:szCs w:val="25"/>
        </w:rPr>
        <w:t>除上述条件外，申请各类奖学金还需符合该项奖学金的特定条件，详情请参照《中山大学本科生奖学金管理办法》第三章。</w:t>
      </w:r>
    </w:p>
    <w:p>
      <w:pPr>
        <w:pStyle w:val="8"/>
        <w:widowControl/>
        <w:spacing w:beforeAutospacing="0" w:afterAutospacing="0"/>
        <w:ind w:left="252"/>
        <w:rPr>
          <w:rFonts w:hint="eastAsia" w:ascii="仿宋" w:hAnsi="仿宋" w:eastAsia="仿宋" w:cs="仿宋"/>
          <w:sz w:val="25"/>
          <w:szCs w:val="25"/>
        </w:rPr>
      </w:pPr>
      <w:r>
        <w:rPr>
          <w:rFonts w:hint="eastAsia" w:ascii="仿宋" w:hAnsi="仿宋" w:eastAsia="仿宋" w:cs="仿宋"/>
          <w:sz w:val="25"/>
          <w:szCs w:val="25"/>
        </w:rPr>
        <w:t> </w:t>
      </w:r>
    </w:p>
    <w:p>
      <w:pPr>
        <w:pStyle w:val="8"/>
        <w:widowControl/>
        <w:spacing w:beforeAutospacing="0" w:afterAutospacing="0"/>
      </w:pPr>
      <w:r>
        <w:rPr>
          <w:rStyle w:val="10"/>
          <w:rFonts w:hint="eastAsia" w:ascii="仿宋" w:hAnsi="仿宋" w:eastAsia="仿宋" w:cs="仿宋"/>
          <w:sz w:val="25"/>
          <w:szCs w:val="25"/>
        </w:rPr>
        <w:t>第七条</w:t>
      </w:r>
      <w:r>
        <w:t xml:space="preserve">  </w:t>
      </w:r>
      <w:r>
        <w:rPr>
          <w:rFonts w:hint="eastAsia" w:ascii="仿宋" w:hAnsi="仿宋" w:eastAsia="仿宋" w:cs="仿宋"/>
          <w:sz w:val="25"/>
          <w:szCs w:val="25"/>
        </w:rPr>
        <w:t>成立学院本科生综合测评审核小组，包括：</w:t>
      </w:r>
    </w:p>
    <w:p>
      <w:pPr>
        <w:pStyle w:val="8"/>
        <w:widowControl/>
        <w:ind w:firstLine="252"/>
      </w:pPr>
      <w:r>
        <w:rPr>
          <w:rFonts w:hint="eastAsia" w:ascii="仿宋" w:hAnsi="仿宋" w:eastAsia="仿宋" w:cs="仿宋"/>
          <w:sz w:val="25"/>
          <w:szCs w:val="25"/>
        </w:rPr>
        <w:t>1、班级评定小组</w:t>
      </w:r>
    </w:p>
    <w:p>
      <w:pPr>
        <w:pStyle w:val="8"/>
        <w:widowControl/>
        <w:ind w:firstLine="516"/>
      </w:pPr>
      <w:r>
        <w:rPr>
          <w:rFonts w:hint="eastAsia" w:ascii="仿宋" w:hAnsi="仿宋" w:eastAsia="仿宋" w:cs="仿宋"/>
          <w:sz w:val="25"/>
          <w:szCs w:val="25"/>
        </w:rPr>
        <w:t>由各班班长、团支书、学习委员及两名学生代表组成；</w:t>
      </w:r>
    </w:p>
    <w:p>
      <w:pPr>
        <w:pStyle w:val="8"/>
        <w:widowControl/>
        <w:ind w:firstLine="252"/>
      </w:pPr>
      <w:r>
        <w:rPr>
          <w:rFonts w:hint="eastAsia" w:ascii="仿宋" w:hAnsi="仿宋" w:eastAsia="仿宋" w:cs="仿宋"/>
          <w:sz w:val="25"/>
          <w:szCs w:val="25"/>
        </w:rPr>
        <w:t>2、年级综合测评审核小组</w:t>
      </w:r>
    </w:p>
    <w:p>
      <w:pPr>
        <w:pStyle w:val="8"/>
        <w:widowControl/>
        <w:ind w:firstLine="516"/>
      </w:pPr>
      <w:r>
        <w:rPr>
          <w:rFonts w:hint="eastAsia" w:ascii="仿宋" w:hAnsi="仿宋" w:eastAsia="仿宋" w:cs="仿宋"/>
          <w:sz w:val="25"/>
          <w:szCs w:val="25"/>
        </w:rPr>
        <w:t>由学院奖学金负责人、各年级助理辅导员以及奖学金评选小组的学生助理组成；</w:t>
      </w:r>
    </w:p>
    <w:p>
      <w:pPr>
        <w:pStyle w:val="8"/>
        <w:widowControl/>
        <w:ind w:firstLine="252"/>
      </w:pPr>
      <w:r>
        <w:rPr>
          <w:rFonts w:hint="eastAsia" w:ascii="仿宋" w:hAnsi="仿宋" w:eastAsia="仿宋" w:cs="仿宋"/>
          <w:sz w:val="25"/>
          <w:szCs w:val="25"/>
        </w:rPr>
        <w:t>3、学院学生资助评审工作小组</w:t>
      </w:r>
    </w:p>
    <w:p>
      <w:pPr>
        <w:pStyle w:val="8"/>
        <w:widowControl/>
        <w:ind w:firstLine="516"/>
        <w:rPr>
          <w:rFonts w:hint="eastAsia" w:ascii="仿宋" w:hAnsi="仿宋" w:eastAsia="仿宋" w:cs="仿宋"/>
          <w:sz w:val="25"/>
          <w:szCs w:val="25"/>
        </w:rPr>
      </w:pPr>
      <w:r>
        <w:rPr>
          <w:rFonts w:hint="eastAsia" w:ascii="仿宋" w:hAnsi="仿宋" w:eastAsia="仿宋" w:cs="仿宋"/>
          <w:sz w:val="25"/>
          <w:szCs w:val="25"/>
        </w:rPr>
        <w:t>由分管本科教学副院长、党组织副书记、各班班主任代表、研究生代表、本科生代表以及各年级辅导员组成。</w:t>
      </w:r>
    </w:p>
    <w:p>
      <w:pPr>
        <w:pStyle w:val="8"/>
        <w:widowControl/>
        <w:ind w:firstLine="516"/>
      </w:pPr>
      <w:r>
        <w:rPr>
          <w:rFonts w:hint="eastAsia" w:ascii="仿宋" w:hAnsi="仿宋" w:eastAsia="仿宋" w:cs="仿宋"/>
          <w:sz w:val="25"/>
          <w:szCs w:val="25"/>
        </w:rPr>
        <w:t>在评审过程中，加分、扣分评定要严格遵守以下要求:</w:t>
      </w:r>
    </w:p>
    <w:p>
      <w:pPr>
        <w:pStyle w:val="8"/>
        <w:widowControl/>
        <w:spacing w:line="360" w:lineRule="auto"/>
      </w:pPr>
      <w:r>
        <w:rPr>
          <w:rFonts w:hint="eastAsia" w:ascii="仿宋" w:hAnsi="仿宋" w:eastAsia="仿宋" w:cs="仿宋"/>
          <w:sz w:val="25"/>
          <w:szCs w:val="25"/>
        </w:rPr>
        <w:t>1、加分、扣分评定过程必须公开，初评结果向全班同学公布，对初评结果有异议的同学可在三天之内向审核小组反映并要求复议。复议过程参照第十条执行。初评结果经公布后由班长、团支书、学习委员签字，按时上报学院。</w:t>
      </w:r>
    </w:p>
    <w:p>
      <w:pPr>
        <w:pStyle w:val="8"/>
        <w:widowControl/>
        <w:shd w:val="clear" w:color="auto" w:fill="FFFFFF"/>
        <w:spacing w:line="360" w:lineRule="auto"/>
      </w:pPr>
      <w:r>
        <w:rPr>
          <w:rFonts w:hint="eastAsia" w:ascii="仿宋" w:hAnsi="仿宋" w:eastAsia="仿宋" w:cs="仿宋"/>
          <w:sz w:val="25"/>
          <w:szCs w:val="25"/>
          <w:shd w:val="clear" w:color="auto" w:fill="FFFFFF"/>
        </w:rPr>
        <w:t>2、学生加分必须提供有效证明，对逾期不提供相应证明的，不得予以加分；扣分也应有相应依据。</w:t>
      </w:r>
    </w:p>
    <w:p>
      <w:pPr>
        <w:pStyle w:val="8"/>
        <w:widowControl/>
        <w:spacing w:line="360" w:lineRule="auto"/>
      </w:pPr>
      <w:r>
        <w:rPr>
          <w:rFonts w:hint="eastAsia" w:ascii="仿宋" w:hAnsi="仿宋" w:eastAsia="仿宋" w:cs="仿宋"/>
          <w:sz w:val="25"/>
          <w:szCs w:val="25"/>
        </w:rPr>
        <w:t>3、评定小组成员涉及自身评分问题时必须回避，由小组其他成员对该成员予以评定。</w:t>
      </w:r>
    </w:p>
    <w:p>
      <w:pPr>
        <w:pStyle w:val="8"/>
        <w:widowControl/>
        <w:spacing w:before="96" w:beforeAutospacing="0" w:afterAutospacing="0" w:line="360" w:lineRule="auto"/>
      </w:pPr>
      <w:r>
        <w:rPr>
          <w:rStyle w:val="10"/>
          <w:rFonts w:hint="eastAsia" w:ascii="仿宋" w:hAnsi="仿宋" w:eastAsia="仿宋" w:cs="仿宋"/>
          <w:sz w:val="25"/>
          <w:szCs w:val="25"/>
        </w:rPr>
        <w:t>第八条</w:t>
      </w:r>
      <w:r>
        <w:rPr>
          <w:rFonts w:hint="eastAsia" w:ascii="宋体" w:hAnsi="宋体" w:eastAsia="宋体" w:cs="宋体"/>
          <w:sz w:val="25"/>
          <w:szCs w:val="25"/>
        </w:rPr>
        <w:t> </w:t>
      </w:r>
      <w:r>
        <w:rPr>
          <w:rFonts w:hint="eastAsia" w:ascii="仿宋" w:hAnsi="仿宋" w:eastAsia="仿宋" w:cs="仿宋"/>
          <w:sz w:val="25"/>
          <w:szCs w:val="25"/>
        </w:rPr>
        <w:t>在综合测评中弄虚作假者，取消本学年度评选奖学金资格。</w:t>
      </w:r>
    </w:p>
    <w:p>
      <w:pPr>
        <w:pStyle w:val="8"/>
        <w:widowControl/>
        <w:spacing w:before="96" w:beforeAutospacing="0" w:afterAutospacing="0" w:line="360" w:lineRule="auto"/>
      </w:pPr>
      <w:r>
        <w:rPr>
          <w:rStyle w:val="10"/>
          <w:rFonts w:hint="eastAsia" w:ascii="仿宋" w:hAnsi="仿宋" w:eastAsia="仿宋" w:cs="仿宋"/>
          <w:sz w:val="25"/>
          <w:szCs w:val="25"/>
        </w:rPr>
        <w:t>第九条</w:t>
      </w:r>
      <w:r>
        <w:rPr>
          <w:rStyle w:val="10"/>
          <w:rFonts w:hint="eastAsia" w:ascii="宋体" w:hAnsi="宋体" w:eastAsia="宋体" w:cs="宋体"/>
          <w:sz w:val="25"/>
          <w:szCs w:val="25"/>
        </w:rPr>
        <w:t> </w:t>
      </w:r>
      <w:r>
        <w:t xml:space="preserve"> </w:t>
      </w:r>
      <w:r>
        <w:rPr>
          <w:rFonts w:hint="eastAsia" w:ascii="仿宋" w:hAnsi="仿宋" w:eastAsia="仿宋" w:cs="仿宋"/>
          <w:sz w:val="25"/>
          <w:szCs w:val="25"/>
        </w:rPr>
        <w:t>评定小组在评定过程中必须实行签名制，各负责人均要在其所负责的项目后“评定人”一栏中签名。</w:t>
      </w:r>
    </w:p>
    <w:p>
      <w:pPr>
        <w:pStyle w:val="8"/>
        <w:widowControl/>
        <w:spacing w:before="96" w:beforeAutospacing="0" w:afterAutospacing="0" w:line="360" w:lineRule="auto"/>
      </w:pPr>
      <w:r>
        <w:rPr>
          <w:rStyle w:val="10"/>
          <w:rFonts w:hint="eastAsia" w:ascii="仿宋" w:hAnsi="仿宋" w:eastAsia="仿宋" w:cs="仿宋"/>
          <w:sz w:val="25"/>
          <w:szCs w:val="25"/>
        </w:rPr>
        <w:t>第十条</w:t>
      </w:r>
      <w:r>
        <w:t xml:space="preserve">  </w:t>
      </w:r>
      <w:r>
        <w:rPr>
          <w:rFonts w:hint="eastAsia" w:ascii="仿宋" w:hAnsi="仿宋" w:eastAsia="仿宋" w:cs="仿宋"/>
          <w:sz w:val="25"/>
          <w:szCs w:val="25"/>
        </w:rPr>
        <w:t>学生有权对评选结果提出复议要求。</w:t>
      </w:r>
    </w:p>
    <w:p>
      <w:pPr>
        <w:pStyle w:val="8"/>
        <w:widowControl/>
        <w:spacing w:before="96" w:beforeAutospacing="0" w:afterAutospacing="0" w:line="360" w:lineRule="auto"/>
      </w:pPr>
      <w:r>
        <w:rPr>
          <w:rFonts w:hint="eastAsia" w:ascii="仿宋" w:hAnsi="仿宋" w:eastAsia="仿宋" w:cs="仿宋"/>
          <w:sz w:val="25"/>
          <w:szCs w:val="25"/>
        </w:rPr>
        <w:t>基本程序为：</w:t>
      </w:r>
    </w:p>
    <w:p>
      <w:pPr>
        <w:pStyle w:val="8"/>
        <w:widowControl/>
        <w:spacing w:before="96" w:beforeAutospacing="0" w:afterAutospacing="0" w:line="360" w:lineRule="auto"/>
        <w:ind w:left="576"/>
      </w:pPr>
      <w:r>
        <w:rPr>
          <w:rFonts w:hint="eastAsia" w:ascii="仿宋" w:hAnsi="仿宋" w:eastAsia="仿宋" w:cs="仿宋"/>
          <w:sz w:val="25"/>
          <w:szCs w:val="25"/>
        </w:rPr>
        <w:t>1、当事人（本人或代理人）向该班班级评定小组提出复议申请；</w:t>
      </w:r>
    </w:p>
    <w:p>
      <w:pPr>
        <w:pStyle w:val="8"/>
        <w:widowControl/>
        <w:spacing w:before="96" w:beforeAutospacing="0" w:afterAutospacing="0" w:line="360" w:lineRule="auto"/>
        <w:ind w:left="576"/>
      </w:pPr>
      <w:r>
        <w:rPr>
          <w:rFonts w:hint="eastAsia" w:ascii="仿宋" w:hAnsi="仿宋" w:eastAsia="仿宋" w:cs="仿宋"/>
          <w:sz w:val="25"/>
          <w:szCs w:val="25"/>
        </w:rPr>
        <w:t>2、班级评定小组经核实确实存在差错的，附上小组内部的意见后，交年级综合测评审核小组；</w:t>
      </w:r>
    </w:p>
    <w:p>
      <w:pPr>
        <w:pStyle w:val="8"/>
        <w:widowControl/>
        <w:spacing w:before="96" w:beforeAutospacing="0" w:afterAutospacing="0" w:line="360" w:lineRule="auto"/>
        <w:ind w:left="576"/>
      </w:pPr>
      <w:r>
        <w:rPr>
          <w:rFonts w:hint="eastAsia" w:ascii="仿宋" w:hAnsi="仿宋" w:eastAsia="仿宋" w:cs="仿宋"/>
          <w:sz w:val="25"/>
          <w:szCs w:val="25"/>
        </w:rPr>
        <w:t>3、年级综合测评审核小组经审核属实后，出具改分意见，并提交给学院学生资助评审工作小组作出进一步审核；</w:t>
      </w:r>
    </w:p>
    <w:p>
      <w:pPr>
        <w:pStyle w:val="8"/>
        <w:widowControl/>
        <w:spacing w:before="96" w:beforeAutospacing="0" w:afterAutospacing="0" w:line="360" w:lineRule="auto"/>
        <w:ind w:left="576"/>
        <w:rPr>
          <w:rFonts w:hint="eastAsia" w:ascii="仿宋" w:hAnsi="仿宋" w:eastAsia="仿宋" w:cs="仿宋"/>
          <w:sz w:val="25"/>
          <w:szCs w:val="25"/>
        </w:rPr>
      </w:pPr>
      <w:r>
        <w:rPr>
          <w:rFonts w:hint="eastAsia" w:ascii="仿宋" w:hAnsi="仿宋" w:eastAsia="仿宋" w:cs="仿宋"/>
          <w:sz w:val="25"/>
          <w:szCs w:val="25"/>
        </w:rPr>
        <w:t>4、学院学生资助评审工作小组确认审核无误后，将改分意见送该班班长，由班长交班级评定小组执行改分和备案，将更改结果公布并作出解释。</w:t>
      </w:r>
    </w:p>
    <w:p>
      <w:pPr>
        <w:pStyle w:val="8"/>
        <w:widowControl/>
        <w:spacing w:before="96" w:beforeAutospacing="0" w:afterAutospacing="0" w:line="360" w:lineRule="auto"/>
      </w:pPr>
      <w:r>
        <w:rPr>
          <w:rStyle w:val="10"/>
          <w:rFonts w:hint="eastAsia" w:ascii="仿宋" w:hAnsi="仿宋" w:eastAsia="仿宋" w:cs="仿宋"/>
          <w:sz w:val="25"/>
          <w:szCs w:val="25"/>
        </w:rPr>
        <w:t>第十一条</w:t>
      </w:r>
      <w:r>
        <w:rPr>
          <w:rFonts w:hint="eastAsia" w:ascii="宋体" w:hAnsi="宋体" w:eastAsia="宋体" w:cs="宋体"/>
          <w:sz w:val="25"/>
          <w:szCs w:val="25"/>
        </w:rPr>
        <w:t> </w:t>
      </w:r>
      <w:r>
        <w:rPr>
          <w:rFonts w:hint="eastAsia" w:ascii="仿宋" w:hAnsi="仿宋" w:eastAsia="仿宋" w:cs="仿宋"/>
          <w:sz w:val="25"/>
          <w:szCs w:val="25"/>
        </w:rPr>
        <w:t>对本办法中未涉及的情况由各班班长统一汇总学生意见，上报院学工部，由学工部讨论后作出相应解释。</w:t>
      </w:r>
    </w:p>
    <w:p>
      <w:pPr>
        <w:pStyle w:val="8"/>
        <w:widowControl/>
        <w:spacing w:before="96" w:beforeAutospacing="0" w:afterAutospacing="0" w:line="360" w:lineRule="auto"/>
        <w:ind w:firstLine="516"/>
      </w:pPr>
      <w:r>
        <w:rPr>
          <w:rFonts w:hint="eastAsia" w:ascii="仿宋" w:hAnsi="仿宋" w:eastAsia="仿宋" w:cs="仿宋"/>
          <w:sz w:val="25"/>
          <w:szCs w:val="25"/>
        </w:rPr>
        <w:t> </w:t>
      </w:r>
    </w:p>
    <w:p>
      <w:pPr>
        <w:pStyle w:val="8"/>
        <w:widowControl/>
        <w:spacing w:line="360" w:lineRule="auto"/>
        <w:jc w:val="center"/>
      </w:pPr>
      <w:r>
        <w:rPr>
          <w:rStyle w:val="10"/>
          <w:rFonts w:hint="eastAsia" w:ascii="仿宋" w:hAnsi="仿宋" w:eastAsia="仿宋" w:cs="仿宋"/>
          <w:sz w:val="25"/>
          <w:szCs w:val="25"/>
        </w:rPr>
        <w:t>第二章</w:t>
      </w:r>
      <w:r>
        <w:rPr>
          <w:rStyle w:val="10"/>
          <w:rFonts w:hint="eastAsia" w:ascii="宋体" w:hAnsi="宋体" w:eastAsia="宋体" w:cs="宋体"/>
          <w:sz w:val="25"/>
          <w:szCs w:val="25"/>
        </w:rPr>
        <w:t> </w:t>
      </w:r>
      <w:r>
        <w:rPr>
          <w:rStyle w:val="10"/>
          <w:rFonts w:hint="eastAsia" w:ascii="仿宋" w:hAnsi="仿宋" w:eastAsia="仿宋" w:cs="仿宋"/>
          <w:sz w:val="25"/>
          <w:szCs w:val="25"/>
        </w:rPr>
        <w:t>细则</w:t>
      </w:r>
    </w:p>
    <w:p>
      <w:pPr>
        <w:pStyle w:val="8"/>
        <w:widowControl/>
        <w:spacing w:line="360" w:lineRule="auto"/>
        <w:rPr>
          <w:color w:val="FF0000"/>
        </w:rPr>
      </w:pPr>
      <w:r>
        <w:rPr>
          <w:rStyle w:val="10"/>
          <w:rFonts w:hint="eastAsia" w:ascii="仿宋" w:hAnsi="仿宋" w:eastAsia="仿宋" w:cs="仿宋"/>
          <w:sz w:val="25"/>
          <w:szCs w:val="25"/>
        </w:rPr>
        <w:t>第十二条 加分</w:t>
      </w:r>
    </w:p>
    <w:p>
      <w:pPr>
        <w:pStyle w:val="8"/>
        <w:widowControl/>
        <w:spacing w:line="360" w:lineRule="auto"/>
        <w:ind w:firstLine="516"/>
      </w:pPr>
      <w:r>
        <w:rPr>
          <w:rFonts w:hint="eastAsia" w:ascii="仿宋" w:hAnsi="仿宋" w:eastAsia="仿宋" w:cs="仿宋"/>
          <w:sz w:val="25"/>
          <w:szCs w:val="25"/>
        </w:rPr>
        <w:t>本加分细则将全面贯彻党的教育方针，以立德树人为根本，紧扣学校人才培养目标，下设三个一级指标“德才兼备”、“领袖气质”、“家国情怀”。</w:t>
      </w:r>
    </w:p>
    <w:p>
      <w:pPr>
        <w:pStyle w:val="8"/>
        <w:widowControl/>
        <w:spacing w:line="360" w:lineRule="auto"/>
      </w:pPr>
      <w:r>
        <w:rPr>
          <w:rStyle w:val="10"/>
          <w:rFonts w:hint="eastAsia" w:ascii="仿宋" w:hAnsi="仿宋" w:eastAsia="仿宋" w:cs="仿宋"/>
          <w:sz w:val="25"/>
          <w:szCs w:val="25"/>
        </w:rPr>
        <w:t>一级指标A  德才兼备</w:t>
      </w:r>
    </w:p>
    <w:p>
      <w:pPr>
        <w:pStyle w:val="8"/>
        <w:widowControl/>
        <w:spacing w:line="360" w:lineRule="auto"/>
      </w:pPr>
      <w:r>
        <w:rPr>
          <w:rFonts w:hint="eastAsia" w:ascii="仿宋" w:hAnsi="仿宋" w:eastAsia="仿宋" w:cs="仿宋"/>
          <w:sz w:val="25"/>
          <w:szCs w:val="25"/>
        </w:rPr>
        <w:t>测评点：具有理想信念、良好的道德品行、专业素养及文艺体育素养。</w:t>
      </w:r>
    </w:p>
    <w:p>
      <w:pPr>
        <w:pStyle w:val="8"/>
        <w:widowControl/>
      </w:pPr>
      <w:r>
        <w:rPr>
          <w:rFonts w:hint="eastAsia" w:ascii="仿宋" w:hAnsi="仿宋" w:eastAsia="仿宋" w:cs="仿宋"/>
          <w:sz w:val="25"/>
          <w:szCs w:val="25"/>
        </w:rPr>
        <w:t>具体加分细则：</w:t>
      </w:r>
    </w:p>
    <w:p>
      <w:pPr>
        <w:pStyle w:val="8"/>
        <w:widowControl/>
        <w:spacing w:before="96" w:beforeAutospacing="0" w:afterAutospacing="0" w:line="360" w:lineRule="auto"/>
      </w:pPr>
      <w:r>
        <w:rPr>
          <w:rStyle w:val="10"/>
          <w:rFonts w:hint="eastAsia" w:ascii="仿宋" w:hAnsi="仿宋" w:eastAsia="仿宋" w:cs="仿宋"/>
          <w:sz w:val="25"/>
          <w:szCs w:val="25"/>
        </w:rPr>
        <w:t>A.1学术科研论文发表</w:t>
      </w:r>
    </w:p>
    <w:tbl>
      <w:tblPr>
        <w:tblStyle w:val="12"/>
        <w:tblW w:w="6658" w:type="dxa"/>
        <w:tblCellSpacing w:w="0" w:type="dxa"/>
        <w:tblInd w:w="15" w:type="dxa"/>
        <w:tblLayout w:type="fixed"/>
        <w:tblCellMar>
          <w:top w:w="0" w:type="dxa"/>
          <w:left w:w="0" w:type="dxa"/>
          <w:bottom w:w="0" w:type="dxa"/>
          <w:right w:w="0" w:type="dxa"/>
        </w:tblCellMar>
      </w:tblPr>
      <w:tblGrid>
        <w:gridCol w:w="970"/>
        <w:gridCol w:w="1401"/>
        <w:gridCol w:w="1449"/>
        <w:gridCol w:w="970"/>
        <w:gridCol w:w="934"/>
        <w:gridCol w:w="934"/>
      </w:tblGrid>
      <w:tr>
        <w:tblPrEx>
          <w:tblLayout w:type="fixed"/>
        </w:tblPrEx>
        <w:trPr>
          <w:tblCellSpacing w:w="0" w:type="dxa"/>
        </w:trPr>
        <w:tc>
          <w:tcPr>
            <w:tcW w:w="970"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论文发表</w:t>
            </w:r>
          </w:p>
          <w:p>
            <w:pPr>
              <w:pStyle w:val="8"/>
              <w:widowControl/>
              <w:spacing w:line="360" w:lineRule="auto"/>
              <w:jc w:val="center"/>
            </w:pPr>
            <w:r>
              <w:rPr>
                <w:rFonts w:hint="eastAsia" w:ascii="仿宋" w:hAnsi="仿宋" w:eastAsia="仿宋" w:cs="仿宋"/>
                <w:sz w:val="25"/>
                <w:szCs w:val="25"/>
              </w:rPr>
              <w:t>刊物级别</w:t>
            </w:r>
          </w:p>
        </w:tc>
        <w:tc>
          <w:tcPr>
            <w:tcW w:w="140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三大索引收录</w:t>
            </w:r>
          </w:p>
        </w:tc>
        <w:tc>
          <w:tcPr>
            <w:tcW w:w="144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国家级核心期刊</w:t>
            </w:r>
          </w:p>
        </w:tc>
        <w:tc>
          <w:tcPr>
            <w:tcW w:w="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省级期刊</w:t>
            </w:r>
          </w:p>
        </w:tc>
        <w:tc>
          <w:tcPr>
            <w:tcW w:w="9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市级期刊</w:t>
            </w:r>
          </w:p>
        </w:tc>
        <w:tc>
          <w:tcPr>
            <w:tcW w:w="9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校级期刊</w:t>
            </w:r>
          </w:p>
        </w:tc>
      </w:tr>
      <w:tr>
        <w:tblPrEx>
          <w:tblLayout w:type="fixed"/>
          <w:tblCellMar>
            <w:top w:w="0" w:type="dxa"/>
            <w:left w:w="0" w:type="dxa"/>
            <w:bottom w:w="0" w:type="dxa"/>
            <w:right w:w="0" w:type="dxa"/>
          </w:tblCellMar>
        </w:tblPrEx>
        <w:trPr>
          <w:tblCellSpacing w:w="0" w:type="dxa"/>
        </w:trPr>
        <w:tc>
          <w:tcPr>
            <w:tcW w:w="970"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加分/篇</w:t>
            </w:r>
          </w:p>
        </w:tc>
        <w:tc>
          <w:tcPr>
            <w:tcW w:w="1401"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7</w:t>
            </w:r>
          </w:p>
        </w:tc>
        <w:tc>
          <w:tcPr>
            <w:tcW w:w="1449"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4</w:t>
            </w:r>
          </w:p>
        </w:tc>
        <w:tc>
          <w:tcPr>
            <w:tcW w:w="9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2</w:t>
            </w:r>
          </w:p>
        </w:tc>
        <w:tc>
          <w:tcPr>
            <w:tcW w:w="93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1.2</w:t>
            </w:r>
          </w:p>
        </w:tc>
        <w:tc>
          <w:tcPr>
            <w:tcW w:w="934"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1.0</w:t>
            </w:r>
          </w:p>
        </w:tc>
      </w:tr>
    </w:tbl>
    <w:p>
      <w:pPr>
        <w:pStyle w:val="8"/>
        <w:widowControl/>
        <w:spacing w:line="360" w:lineRule="auto"/>
      </w:pPr>
      <w:r>
        <w:rPr>
          <w:rFonts w:hint="eastAsia" w:ascii="仿宋" w:hAnsi="仿宋" w:eastAsia="仿宋" w:cs="仿宋"/>
          <w:sz w:val="25"/>
          <w:szCs w:val="25"/>
        </w:rPr>
        <w:t>说明：</w:t>
      </w:r>
    </w:p>
    <w:p>
      <w:pPr>
        <w:pStyle w:val="8"/>
        <w:widowControl/>
        <w:numPr>
          <w:ilvl w:val="0"/>
          <w:numId w:val="1"/>
        </w:numPr>
        <w:spacing w:line="360" w:lineRule="auto"/>
        <w:ind w:firstLine="516"/>
        <w:rPr>
          <w:rFonts w:hint="eastAsia" w:ascii="仿宋" w:hAnsi="仿宋" w:eastAsia="仿宋" w:cs="仿宋"/>
          <w:sz w:val="25"/>
          <w:szCs w:val="25"/>
        </w:rPr>
      </w:pPr>
      <w:r>
        <w:rPr>
          <w:rFonts w:hint="eastAsia" w:ascii="仿宋" w:hAnsi="仿宋" w:eastAsia="仿宋" w:cs="仿宋"/>
          <w:sz w:val="25"/>
          <w:szCs w:val="25"/>
        </w:rPr>
        <w:t>三大索引指：SCI、EI、ISTP；</w:t>
      </w:r>
    </w:p>
    <w:p>
      <w:pPr>
        <w:pStyle w:val="8"/>
        <w:widowControl/>
        <w:numPr>
          <w:ilvl w:val="0"/>
          <w:numId w:val="0"/>
        </w:numPr>
        <w:spacing w:line="360" w:lineRule="auto"/>
        <w:ind w:firstLine="500" w:firstLineChars="200"/>
      </w:pPr>
      <w:r>
        <w:rPr>
          <w:rFonts w:hint="eastAsia" w:ascii="仿宋" w:hAnsi="仿宋" w:eastAsia="仿宋" w:cs="仿宋"/>
          <w:sz w:val="25"/>
          <w:szCs w:val="25"/>
        </w:rPr>
        <w:t>2、发表的论文计分方式为：第一作者以100%计分，第二作者以80%计分，第三作者以60%计分，第四作者以40%计分，第五及以后作者以20%计分；若老师是第一作者，学生是第二作者，则学生等同于第一作者；</w:t>
      </w:r>
    </w:p>
    <w:p>
      <w:pPr>
        <w:pStyle w:val="8"/>
        <w:widowControl/>
        <w:spacing w:line="360" w:lineRule="auto"/>
        <w:rPr>
          <w:rFonts w:hint="eastAsia" w:ascii="仿宋" w:hAnsi="仿宋" w:eastAsia="仿宋" w:cs="仿宋"/>
          <w:sz w:val="25"/>
          <w:szCs w:val="25"/>
        </w:rPr>
      </w:pPr>
      <w:r>
        <w:rPr>
          <w:rFonts w:hint="eastAsia" w:ascii="仿宋" w:hAnsi="仿宋" w:eastAsia="仿宋" w:cs="仿宋"/>
          <w:sz w:val="25"/>
          <w:szCs w:val="25"/>
        </w:rPr>
        <w:t>  3、发表或接收时间须在综合测评年度内，论文要以中山大学的名义发表，加分时需要提供已发表的文章复印件、发表刊物的封面复印件或接收证明。</w:t>
      </w:r>
    </w:p>
    <w:p>
      <w:pPr>
        <w:pStyle w:val="8"/>
        <w:widowControl/>
        <w:spacing w:line="360" w:lineRule="auto"/>
        <w:ind w:firstLine="500" w:firstLineChars="200"/>
        <w:rPr>
          <w:rFonts w:hint="eastAsia" w:ascii="仿宋" w:hAnsi="仿宋" w:eastAsia="仿宋" w:cs="仿宋"/>
          <w:sz w:val="25"/>
          <w:szCs w:val="25"/>
        </w:rPr>
      </w:pPr>
      <w:r>
        <w:rPr>
          <w:rFonts w:hint="eastAsia" w:ascii="仿宋" w:hAnsi="仿宋" w:eastAsia="仿宋" w:cs="仿宋"/>
          <w:sz w:val="25"/>
          <w:szCs w:val="25"/>
          <w:lang w:val="en-US" w:eastAsia="zh-CN"/>
        </w:rPr>
        <w:t>4、</w:t>
      </w:r>
      <w:r>
        <w:rPr>
          <w:rFonts w:hint="eastAsia" w:ascii="仿宋" w:hAnsi="仿宋" w:eastAsia="仿宋" w:cs="仿宋"/>
          <w:sz w:val="25"/>
          <w:szCs w:val="25"/>
        </w:rPr>
        <w:t>在国际学术会议论文集上发表论文</w:t>
      </w:r>
      <w:r>
        <w:rPr>
          <w:rFonts w:hint="eastAsia" w:ascii="仿宋" w:hAnsi="仿宋" w:eastAsia="仿宋" w:cs="仿宋"/>
          <w:sz w:val="25"/>
          <w:szCs w:val="25"/>
          <w:lang w:eastAsia="zh-CN"/>
        </w:rPr>
        <w:t>，</w:t>
      </w:r>
      <w:r>
        <w:rPr>
          <w:rFonts w:hint="eastAsia" w:ascii="仿宋" w:hAnsi="仿宋" w:eastAsia="仿宋" w:cs="仿宋"/>
          <w:sz w:val="25"/>
          <w:szCs w:val="25"/>
          <w:lang w:val="en-US" w:eastAsia="zh-CN"/>
        </w:rPr>
        <w:t>计2分；在</w:t>
      </w:r>
      <w:r>
        <w:rPr>
          <w:rFonts w:hint="eastAsia" w:ascii="仿宋" w:hAnsi="仿宋" w:eastAsia="仿宋" w:cs="仿宋"/>
          <w:sz w:val="25"/>
          <w:szCs w:val="25"/>
        </w:rPr>
        <w:t>会议上作</w:t>
      </w:r>
      <w:r>
        <w:rPr>
          <w:rFonts w:hint="eastAsia" w:ascii="仿宋" w:hAnsi="仿宋" w:eastAsia="仿宋" w:cs="仿宋"/>
          <w:sz w:val="25"/>
          <w:szCs w:val="25"/>
          <w:lang w:val="en-US" w:eastAsia="zh-CN"/>
        </w:rPr>
        <w:t>口头</w:t>
      </w:r>
      <w:r>
        <w:rPr>
          <w:rFonts w:hint="eastAsia" w:ascii="仿宋" w:hAnsi="仿宋" w:eastAsia="仿宋" w:cs="仿宋"/>
          <w:sz w:val="25"/>
          <w:szCs w:val="25"/>
        </w:rPr>
        <w:t>报告展示的（“oral presentation”），计</w:t>
      </w:r>
      <w:r>
        <w:rPr>
          <w:rFonts w:hint="eastAsia" w:ascii="仿宋" w:hAnsi="仿宋" w:eastAsia="仿宋" w:cs="仿宋"/>
          <w:sz w:val="25"/>
          <w:szCs w:val="25"/>
          <w:lang w:val="en-US" w:eastAsia="zh-CN"/>
        </w:rPr>
        <w:t>1.5</w:t>
      </w:r>
      <w:r>
        <w:rPr>
          <w:rFonts w:hint="eastAsia" w:ascii="仿宋" w:hAnsi="仿宋" w:eastAsia="仿宋" w:cs="仿宋"/>
          <w:sz w:val="25"/>
          <w:szCs w:val="25"/>
        </w:rPr>
        <w:t>分；</w:t>
      </w:r>
      <w:r>
        <w:rPr>
          <w:rFonts w:hint="eastAsia" w:ascii="仿宋" w:hAnsi="仿宋" w:eastAsia="仿宋" w:cs="仿宋"/>
          <w:sz w:val="25"/>
          <w:szCs w:val="25"/>
          <w:lang w:val="en-US" w:eastAsia="zh-CN"/>
        </w:rPr>
        <w:t>作</w:t>
      </w:r>
      <w:r>
        <w:rPr>
          <w:rFonts w:hint="eastAsia" w:ascii="仿宋" w:hAnsi="仿宋" w:eastAsia="仿宋" w:cs="仿宋"/>
          <w:sz w:val="25"/>
          <w:szCs w:val="25"/>
        </w:rPr>
        <w:t>海报展示的（“poster presentation”），计</w:t>
      </w:r>
      <w:r>
        <w:rPr>
          <w:rFonts w:hint="eastAsia" w:ascii="仿宋" w:hAnsi="仿宋" w:eastAsia="仿宋" w:cs="仿宋"/>
          <w:sz w:val="25"/>
          <w:szCs w:val="25"/>
          <w:lang w:val="en-US" w:eastAsia="zh-CN"/>
        </w:rPr>
        <w:t>0.5</w:t>
      </w:r>
      <w:r>
        <w:rPr>
          <w:rFonts w:hint="eastAsia" w:ascii="仿宋" w:hAnsi="仿宋" w:eastAsia="仿宋" w:cs="仿宋"/>
          <w:sz w:val="25"/>
          <w:szCs w:val="25"/>
        </w:rPr>
        <w:t>分。</w:t>
      </w:r>
    </w:p>
    <w:p>
      <w:pPr>
        <w:pStyle w:val="8"/>
        <w:widowControl/>
        <w:spacing w:line="360" w:lineRule="auto"/>
        <w:ind w:firstLine="420" w:firstLineChars="0"/>
        <w:rPr>
          <w:rFonts w:hint="eastAsia" w:ascii="仿宋" w:hAnsi="仿宋" w:eastAsia="仿宋" w:cs="仿宋"/>
          <w:sz w:val="25"/>
          <w:szCs w:val="25"/>
        </w:rPr>
      </w:pPr>
      <w:r>
        <w:rPr>
          <w:rFonts w:hint="eastAsia" w:ascii="仿宋" w:hAnsi="仿宋" w:eastAsia="仿宋" w:cs="仿宋"/>
          <w:sz w:val="25"/>
          <w:szCs w:val="25"/>
        </w:rPr>
        <w:t>在</w:t>
      </w:r>
      <w:r>
        <w:rPr>
          <w:rFonts w:hint="eastAsia" w:ascii="仿宋" w:hAnsi="仿宋" w:eastAsia="仿宋" w:cs="仿宋"/>
          <w:sz w:val="25"/>
          <w:szCs w:val="25"/>
          <w:lang w:val="en-US" w:eastAsia="zh-CN"/>
        </w:rPr>
        <w:t>全国</w:t>
      </w:r>
      <w:r>
        <w:rPr>
          <w:rFonts w:hint="eastAsia" w:ascii="仿宋" w:hAnsi="仿宋" w:eastAsia="仿宋" w:cs="仿宋"/>
          <w:sz w:val="25"/>
          <w:szCs w:val="25"/>
        </w:rPr>
        <w:t>学术会议</w:t>
      </w:r>
      <w:r>
        <w:rPr>
          <w:rFonts w:hint="eastAsia" w:ascii="仿宋" w:hAnsi="仿宋" w:eastAsia="仿宋" w:cs="仿宋"/>
          <w:sz w:val="25"/>
          <w:szCs w:val="25"/>
          <w:lang w:val="en-US" w:eastAsia="zh-CN"/>
        </w:rPr>
        <w:t>或学术年会论文集上</w:t>
      </w:r>
      <w:r>
        <w:rPr>
          <w:rFonts w:hint="eastAsia" w:ascii="仿宋" w:hAnsi="仿宋" w:eastAsia="仿宋" w:cs="仿宋"/>
          <w:sz w:val="25"/>
          <w:szCs w:val="25"/>
        </w:rPr>
        <w:t>发表论文</w:t>
      </w:r>
      <w:r>
        <w:rPr>
          <w:rFonts w:hint="eastAsia" w:ascii="仿宋" w:hAnsi="仿宋" w:eastAsia="仿宋" w:cs="仿宋"/>
          <w:sz w:val="25"/>
          <w:szCs w:val="25"/>
          <w:lang w:eastAsia="zh-CN"/>
        </w:rPr>
        <w:t>，</w:t>
      </w:r>
      <w:r>
        <w:rPr>
          <w:rFonts w:hint="eastAsia" w:ascii="仿宋" w:hAnsi="仿宋" w:eastAsia="仿宋" w:cs="仿宋"/>
          <w:sz w:val="25"/>
          <w:szCs w:val="25"/>
          <w:lang w:val="en-US" w:eastAsia="zh-CN"/>
        </w:rPr>
        <w:t>计1分；在</w:t>
      </w:r>
      <w:r>
        <w:rPr>
          <w:rFonts w:hint="eastAsia" w:ascii="仿宋" w:hAnsi="仿宋" w:eastAsia="仿宋" w:cs="仿宋"/>
          <w:sz w:val="25"/>
          <w:szCs w:val="25"/>
        </w:rPr>
        <w:t>会议上作</w:t>
      </w:r>
      <w:r>
        <w:rPr>
          <w:rFonts w:hint="eastAsia" w:ascii="仿宋" w:hAnsi="仿宋" w:eastAsia="仿宋" w:cs="仿宋"/>
          <w:sz w:val="25"/>
          <w:szCs w:val="25"/>
          <w:lang w:val="en-US" w:eastAsia="zh-CN"/>
        </w:rPr>
        <w:t>口头</w:t>
      </w:r>
      <w:r>
        <w:rPr>
          <w:rFonts w:hint="eastAsia" w:ascii="仿宋" w:hAnsi="仿宋" w:eastAsia="仿宋" w:cs="仿宋"/>
          <w:sz w:val="25"/>
          <w:szCs w:val="25"/>
        </w:rPr>
        <w:t>报告展示的（“oral presentation”），计</w:t>
      </w:r>
      <w:r>
        <w:rPr>
          <w:rFonts w:hint="eastAsia" w:ascii="仿宋" w:hAnsi="仿宋" w:eastAsia="仿宋" w:cs="仿宋"/>
          <w:sz w:val="25"/>
          <w:szCs w:val="25"/>
          <w:lang w:val="en-US" w:eastAsia="zh-CN"/>
        </w:rPr>
        <w:t>0.8</w:t>
      </w:r>
      <w:r>
        <w:rPr>
          <w:rFonts w:hint="eastAsia" w:ascii="仿宋" w:hAnsi="仿宋" w:eastAsia="仿宋" w:cs="仿宋"/>
          <w:sz w:val="25"/>
          <w:szCs w:val="25"/>
        </w:rPr>
        <w:t>分；</w:t>
      </w:r>
      <w:r>
        <w:rPr>
          <w:rFonts w:hint="eastAsia" w:ascii="仿宋" w:hAnsi="仿宋" w:eastAsia="仿宋" w:cs="仿宋"/>
          <w:sz w:val="25"/>
          <w:szCs w:val="25"/>
          <w:lang w:val="en-US" w:eastAsia="zh-CN"/>
        </w:rPr>
        <w:t>作</w:t>
      </w:r>
      <w:r>
        <w:rPr>
          <w:rFonts w:hint="eastAsia" w:ascii="仿宋" w:hAnsi="仿宋" w:eastAsia="仿宋" w:cs="仿宋"/>
          <w:sz w:val="25"/>
          <w:szCs w:val="25"/>
        </w:rPr>
        <w:t>海报展示的（“poster presentation”），计</w:t>
      </w:r>
      <w:r>
        <w:rPr>
          <w:rFonts w:hint="eastAsia" w:ascii="仿宋" w:hAnsi="仿宋" w:eastAsia="仿宋" w:cs="仿宋"/>
          <w:sz w:val="25"/>
          <w:szCs w:val="25"/>
          <w:lang w:val="en-US" w:eastAsia="zh-CN"/>
        </w:rPr>
        <w:t>0.3</w:t>
      </w:r>
      <w:r>
        <w:rPr>
          <w:rFonts w:hint="eastAsia" w:ascii="仿宋" w:hAnsi="仿宋" w:eastAsia="仿宋" w:cs="仿宋"/>
          <w:sz w:val="25"/>
          <w:szCs w:val="25"/>
        </w:rPr>
        <w:t>分。</w:t>
      </w:r>
    </w:p>
    <w:p>
      <w:pPr>
        <w:pStyle w:val="8"/>
        <w:widowControl/>
        <w:spacing w:line="360" w:lineRule="auto"/>
        <w:ind w:firstLine="516"/>
        <w:rPr>
          <w:rFonts w:hint="eastAsia" w:ascii="仿宋" w:hAnsi="仿宋" w:eastAsia="仿宋" w:cs="仿宋"/>
          <w:sz w:val="25"/>
          <w:szCs w:val="25"/>
        </w:rPr>
      </w:pPr>
      <w:r>
        <w:rPr>
          <w:rFonts w:hint="eastAsia" w:ascii="仿宋" w:hAnsi="仿宋" w:eastAsia="仿宋" w:cs="仿宋"/>
          <w:sz w:val="25"/>
          <w:szCs w:val="25"/>
        </w:rPr>
        <w:t>5、同一篇文章被不同的会议或期刊等接收或者发表的，只能选取最高级别加分，即一稿多投不能累加；另外相同内容的论文分别以中英文两个版本发表也算是一稿多投的情</w:t>
      </w:r>
      <w:r>
        <w:rPr>
          <w:rFonts w:hint="eastAsia" w:ascii="仿宋" w:hAnsi="仿宋" w:eastAsia="仿宋" w:cs="仿宋"/>
          <w:sz w:val="25"/>
          <w:szCs w:val="25"/>
          <w:lang w:val="en-US" w:eastAsia="zh-CN"/>
        </w:rPr>
        <w:t xml:space="preserve"> </w:t>
      </w:r>
      <w:r>
        <w:rPr>
          <w:rFonts w:hint="eastAsia" w:ascii="仿宋" w:hAnsi="仿宋" w:eastAsia="仿宋" w:cs="仿宋"/>
          <w:sz w:val="25"/>
          <w:szCs w:val="25"/>
        </w:rPr>
        <w:t>况，不能累加，只能取最高分。</w:t>
      </w:r>
    </w:p>
    <w:p>
      <w:pPr>
        <w:pStyle w:val="8"/>
        <w:widowControl/>
        <w:spacing w:before="96" w:beforeAutospacing="0" w:afterAutospacing="0" w:line="360" w:lineRule="auto"/>
      </w:pPr>
      <w:r>
        <w:rPr>
          <w:rStyle w:val="10"/>
          <w:rFonts w:hint="eastAsia" w:ascii="仿宋" w:hAnsi="仿宋" w:eastAsia="仿宋" w:cs="仿宋"/>
          <w:sz w:val="25"/>
          <w:szCs w:val="25"/>
        </w:rPr>
        <w:t>A.2技术专利</w:t>
      </w:r>
    </w:p>
    <w:tbl>
      <w:tblPr>
        <w:tblStyle w:val="12"/>
        <w:tblW w:w="6766" w:type="dxa"/>
        <w:tblCellSpacing w:w="0" w:type="dxa"/>
        <w:tblInd w:w="15" w:type="dxa"/>
        <w:tblLayout w:type="fixed"/>
        <w:tblCellMar>
          <w:top w:w="0" w:type="dxa"/>
          <w:left w:w="0" w:type="dxa"/>
          <w:bottom w:w="0" w:type="dxa"/>
          <w:right w:w="0" w:type="dxa"/>
        </w:tblCellMar>
      </w:tblPr>
      <w:tblGrid>
        <w:gridCol w:w="1670"/>
        <w:gridCol w:w="1274"/>
        <w:gridCol w:w="1274"/>
        <w:gridCol w:w="1274"/>
        <w:gridCol w:w="1274"/>
      </w:tblGrid>
      <w:tr>
        <w:tblPrEx>
          <w:tblLayout w:type="fixed"/>
          <w:tblCellMar>
            <w:top w:w="0" w:type="dxa"/>
            <w:left w:w="0" w:type="dxa"/>
            <w:bottom w:w="0" w:type="dxa"/>
            <w:right w:w="0" w:type="dxa"/>
          </w:tblCellMar>
        </w:tblPrEx>
        <w:trPr>
          <w:trHeight w:val="373" w:hRule="atLeast"/>
          <w:tblCellSpacing w:w="0" w:type="dxa"/>
        </w:trPr>
        <w:tc>
          <w:tcPr>
            <w:tcW w:w="1670"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获准专利（已被正式受理）</w:t>
            </w:r>
          </w:p>
        </w:tc>
        <w:tc>
          <w:tcPr>
            <w:tcW w:w="127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第一完成人</w:t>
            </w:r>
          </w:p>
        </w:tc>
        <w:tc>
          <w:tcPr>
            <w:tcW w:w="127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第二完成人</w:t>
            </w:r>
          </w:p>
        </w:tc>
        <w:tc>
          <w:tcPr>
            <w:tcW w:w="127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第三完成人</w:t>
            </w:r>
          </w:p>
        </w:tc>
        <w:tc>
          <w:tcPr>
            <w:tcW w:w="127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其他完成人</w:t>
            </w:r>
          </w:p>
        </w:tc>
      </w:tr>
      <w:tr>
        <w:tblPrEx>
          <w:tblLayout w:type="fixed"/>
          <w:tblCellMar>
            <w:top w:w="0" w:type="dxa"/>
            <w:left w:w="0" w:type="dxa"/>
            <w:bottom w:w="0" w:type="dxa"/>
            <w:right w:w="0" w:type="dxa"/>
          </w:tblCellMar>
        </w:tblPrEx>
        <w:trPr>
          <w:trHeight w:val="373" w:hRule="atLeast"/>
          <w:tblCellSpacing w:w="0" w:type="dxa"/>
        </w:trPr>
        <w:tc>
          <w:tcPr>
            <w:tcW w:w="1670"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加分/项</w:t>
            </w:r>
          </w:p>
        </w:tc>
        <w:tc>
          <w:tcPr>
            <w:tcW w:w="1274"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2</w:t>
            </w:r>
          </w:p>
        </w:tc>
        <w:tc>
          <w:tcPr>
            <w:tcW w:w="1274"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1.5</w:t>
            </w:r>
          </w:p>
        </w:tc>
        <w:tc>
          <w:tcPr>
            <w:tcW w:w="127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w:t>
            </w:r>
          </w:p>
        </w:tc>
        <w:tc>
          <w:tcPr>
            <w:tcW w:w="1274"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0.5</w:t>
            </w:r>
          </w:p>
        </w:tc>
      </w:tr>
    </w:tbl>
    <w:p>
      <w:pPr>
        <w:pStyle w:val="8"/>
        <w:widowControl/>
        <w:spacing w:line="360" w:lineRule="auto"/>
      </w:pPr>
      <w:r>
        <w:rPr>
          <w:rFonts w:hint="eastAsia" w:ascii="仿宋" w:hAnsi="仿宋" w:eastAsia="仿宋" w:cs="仿宋"/>
          <w:sz w:val="25"/>
          <w:szCs w:val="25"/>
        </w:rPr>
        <w:t>说明：</w:t>
      </w:r>
    </w:p>
    <w:p>
      <w:pPr>
        <w:pStyle w:val="8"/>
        <w:widowControl/>
        <w:spacing w:line="360" w:lineRule="auto"/>
        <w:ind w:firstLine="500" w:firstLineChars="200"/>
      </w:pPr>
      <w:r>
        <w:rPr>
          <w:rFonts w:hint="eastAsia" w:ascii="仿宋" w:hAnsi="仿宋" w:eastAsia="仿宋" w:cs="仿宋"/>
          <w:sz w:val="25"/>
          <w:szCs w:val="25"/>
        </w:rPr>
        <w:t>1、提交参评的技术专利必须完成授权阶段，并以授权完成时间作为参评时间，技术专利必须是在评奖年度内获得；</w:t>
      </w:r>
    </w:p>
    <w:p>
      <w:pPr>
        <w:pStyle w:val="8"/>
        <w:widowControl/>
        <w:spacing w:line="360" w:lineRule="auto"/>
      </w:pPr>
      <w:r>
        <w:rPr>
          <w:rFonts w:hint="eastAsia" w:ascii="宋体" w:hAnsi="宋体" w:eastAsia="宋体" w:cs="宋体"/>
          <w:sz w:val="25"/>
          <w:szCs w:val="25"/>
        </w:rPr>
        <w:t xml:space="preserve">  </w:t>
      </w:r>
      <w:r>
        <w:rPr>
          <w:rFonts w:hint="eastAsia" w:ascii="宋体" w:hAnsi="宋体" w:eastAsia="宋体" w:cs="宋体"/>
          <w:sz w:val="25"/>
          <w:szCs w:val="25"/>
          <w:lang w:val="en-US" w:eastAsia="zh-CN"/>
        </w:rPr>
        <w:t xml:space="preserve"> </w:t>
      </w:r>
      <w:r>
        <w:rPr>
          <w:rFonts w:hint="eastAsia" w:ascii="仿宋" w:hAnsi="仿宋" w:eastAsia="仿宋" w:cs="仿宋"/>
          <w:sz w:val="25"/>
          <w:szCs w:val="25"/>
        </w:rPr>
        <w:t>2、专利需要提供相应的重要正面原件和复印件，并通过学院奖助学金初评小组确认。</w:t>
      </w:r>
    </w:p>
    <w:p>
      <w:pPr>
        <w:pStyle w:val="8"/>
        <w:widowControl/>
        <w:spacing w:before="96" w:beforeAutospacing="0" w:afterAutospacing="0" w:line="360" w:lineRule="auto"/>
      </w:pPr>
      <w:r>
        <w:rPr>
          <w:rStyle w:val="10"/>
          <w:rFonts w:hint="eastAsia" w:ascii="仿宋" w:hAnsi="仿宋" w:eastAsia="仿宋" w:cs="仿宋"/>
          <w:sz w:val="25"/>
          <w:szCs w:val="25"/>
        </w:rPr>
        <w:t>A.3非主修专业类作品发表</w:t>
      </w:r>
    </w:p>
    <w:tbl>
      <w:tblPr>
        <w:tblStyle w:val="12"/>
        <w:tblW w:w="5880" w:type="dxa"/>
        <w:tblCellSpacing w:w="0" w:type="dxa"/>
        <w:tblInd w:w="15" w:type="dxa"/>
        <w:tblLayout w:type="fixed"/>
        <w:tblCellMar>
          <w:top w:w="0" w:type="dxa"/>
          <w:left w:w="0" w:type="dxa"/>
          <w:bottom w:w="0" w:type="dxa"/>
          <w:right w:w="0" w:type="dxa"/>
        </w:tblCellMar>
      </w:tblPr>
      <w:tblGrid>
        <w:gridCol w:w="1032"/>
        <w:gridCol w:w="996"/>
        <w:gridCol w:w="900"/>
        <w:gridCol w:w="792"/>
        <w:gridCol w:w="864"/>
        <w:gridCol w:w="1296"/>
      </w:tblGrid>
      <w:tr>
        <w:tblPrEx>
          <w:tblLayout w:type="fixed"/>
          <w:tblCellMar>
            <w:top w:w="0" w:type="dxa"/>
            <w:left w:w="0" w:type="dxa"/>
            <w:bottom w:w="0" w:type="dxa"/>
            <w:right w:w="0" w:type="dxa"/>
          </w:tblCellMar>
        </w:tblPrEx>
        <w:trPr>
          <w:tblCellSpacing w:w="0" w:type="dxa"/>
        </w:trPr>
        <w:tc>
          <w:tcPr>
            <w:tcW w:w="103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报刊级别</w:t>
            </w:r>
          </w:p>
        </w:tc>
        <w:tc>
          <w:tcPr>
            <w:tcW w:w="996"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国家级</w:t>
            </w:r>
          </w:p>
        </w:tc>
        <w:tc>
          <w:tcPr>
            <w:tcW w:w="900"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省级</w:t>
            </w:r>
          </w:p>
        </w:tc>
        <w:tc>
          <w:tcPr>
            <w:tcW w:w="79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市级</w:t>
            </w:r>
          </w:p>
        </w:tc>
        <w:tc>
          <w:tcPr>
            <w:tcW w:w="864"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校级</w:t>
            </w:r>
          </w:p>
        </w:tc>
        <w:tc>
          <w:tcPr>
            <w:tcW w:w="1296"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校区级 / 院级</w:t>
            </w:r>
          </w:p>
        </w:tc>
      </w:tr>
      <w:tr>
        <w:tblPrEx>
          <w:tblLayout w:type="fixed"/>
          <w:tblCellMar>
            <w:top w:w="0" w:type="dxa"/>
            <w:left w:w="0" w:type="dxa"/>
            <w:bottom w:w="0" w:type="dxa"/>
            <w:right w:w="0" w:type="dxa"/>
          </w:tblCellMar>
        </w:tblPrEx>
        <w:trPr>
          <w:tblCellSpacing w:w="0" w:type="dxa"/>
        </w:trPr>
        <w:tc>
          <w:tcPr>
            <w:tcW w:w="103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加分/篇</w:t>
            </w:r>
          </w:p>
        </w:tc>
        <w:tc>
          <w:tcPr>
            <w:tcW w:w="996"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1.0</w:t>
            </w:r>
          </w:p>
        </w:tc>
        <w:tc>
          <w:tcPr>
            <w:tcW w:w="900"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0.6</w:t>
            </w:r>
          </w:p>
        </w:tc>
        <w:tc>
          <w:tcPr>
            <w:tcW w:w="79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0.4</w:t>
            </w:r>
          </w:p>
        </w:tc>
        <w:tc>
          <w:tcPr>
            <w:tcW w:w="864"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ind w:firstLine="384"/>
            </w:pPr>
            <w:r>
              <w:rPr>
                <w:rFonts w:hint="eastAsia" w:ascii="仿宋" w:hAnsi="仿宋" w:eastAsia="仿宋" w:cs="仿宋"/>
                <w:sz w:val="25"/>
                <w:szCs w:val="25"/>
              </w:rPr>
              <w:t>0.3</w:t>
            </w:r>
          </w:p>
        </w:tc>
        <w:tc>
          <w:tcPr>
            <w:tcW w:w="1296"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0.1</w:t>
            </w:r>
          </w:p>
        </w:tc>
      </w:tr>
    </w:tbl>
    <w:p>
      <w:pPr>
        <w:pStyle w:val="8"/>
        <w:widowControl/>
        <w:spacing w:line="360" w:lineRule="auto"/>
      </w:pPr>
      <w:r>
        <w:rPr>
          <w:rFonts w:hint="eastAsia" w:ascii="仿宋" w:hAnsi="仿宋" w:eastAsia="仿宋" w:cs="仿宋"/>
          <w:sz w:val="25"/>
          <w:szCs w:val="25"/>
        </w:rPr>
        <w:t>说明：</w:t>
      </w:r>
    </w:p>
    <w:p>
      <w:pPr>
        <w:pStyle w:val="8"/>
        <w:widowControl/>
        <w:spacing w:line="360" w:lineRule="auto"/>
      </w:pPr>
      <w:r>
        <w:rPr>
          <w:rFonts w:hint="eastAsia" w:ascii="宋体" w:hAnsi="宋体" w:eastAsia="宋体" w:cs="宋体"/>
          <w:sz w:val="25"/>
          <w:szCs w:val="25"/>
        </w:rPr>
        <w:t> </w:t>
      </w:r>
      <w:r>
        <w:rPr>
          <w:rFonts w:hint="eastAsia" w:ascii="仿宋" w:hAnsi="仿宋" w:eastAsia="仿宋" w:cs="仿宋"/>
          <w:sz w:val="25"/>
          <w:szCs w:val="25"/>
        </w:rPr>
        <w:t xml:space="preserve">  1、校级及校级以上公开发行的报刊必须是有国家新闻出版局颁发刊号的报刊；</w:t>
      </w:r>
    </w:p>
    <w:p>
      <w:pPr>
        <w:pStyle w:val="8"/>
        <w:widowControl/>
        <w:spacing w:line="360" w:lineRule="auto"/>
      </w:pPr>
      <w:r>
        <w:rPr>
          <w:rFonts w:hint="eastAsia" w:ascii="仿宋" w:hAnsi="仿宋" w:eastAsia="仿宋" w:cs="仿宋"/>
          <w:sz w:val="25"/>
          <w:szCs w:val="25"/>
        </w:rPr>
        <w:t>   </w:t>
      </w:r>
      <w:r>
        <w:rPr>
          <w:rFonts w:hint="eastAsia" w:ascii="仿宋" w:hAnsi="仿宋" w:eastAsia="仿宋" w:cs="仿宋"/>
          <w:sz w:val="25"/>
          <w:szCs w:val="25"/>
          <w:lang w:val="en-US" w:eastAsia="zh-CN"/>
        </w:rPr>
        <w:t xml:space="preserve"> </w:t>
      </w:r>
      <w:r>
        <w:rPr>
          <w:rFonts w:hint="eastAsia" w:ascii="仿宋" w:hAnsi="仿宋" w:eastAsia="仿宋" w:cs="仿宋"/>
          <w:sz w:val="25"/>
          <w:szCs w:val="25"/>
        </w:rPr>
        <w:t xml:space="preserve"> 2、发表的作品是指：新闻报道、文学、摄影、美术、绘画等非主修专业类作品；</w:t>
      </w:r>
    </w:p>
    <w:p>
      <w:pPr>
        <w:pStyle w:val="8"/>
        <w:widowControl/>
        <w:spacing w:line="360" w:lineRule="auto"/>
      </w:pPr>
      <w:r>
        <w:rPr>
          <w:rFonts w:hint="eastAsia" w:ascii="宋体" w:hAnsi="宋体" w:eastAsia="宋体" w:cs="宋体"/>
          <w:sz w:val="25"/>
          <w:szCs w:val="25"/>
        </w:rPr>
        <w:t> </w:t>
      </w:r>
      <w:r>
        <w:rPr>
          <w:rFonts w:hint="eastAsia" w:ascii="仿宋" w:hAnsi="仿宋" w:eastAsia="仿宋" w:cs="仿宋"/>
          <w:sz w:val="25"/>
          <w:szCs w:val="25"/>
        </w:rPr>
        <w:t xml:space="preserve">   3、发表不同的作品可累计加分；发表在不同级别报刊上的同一作品只计最高分；在各级报刊上发表的文章中，一句话新闻、简讯类文章不予加分，只作为个人兼职或实习成果；摄影作品中同一征稿主题或同属一篇报道的只计作一次；</w:t>
      </w:r>
    </w:p>
    <w:p>
      <w:pPr>
        <w:pStyle w:val="8"/>
        <w:widowControl/>
        <w:spacing w:line="360" w:lineRule="auto"/>
      </w:pPr>
      <w:r>
        <w:rPr>
          <w:rFonts w:hint="eastAsia" w:ascii="宋体" w:hAnsi="宋体" w:eastAsia="宋体" w:cs="宋体"/>
          <w:sz w:val="25"/>
          <w:szCs w:val="25"/>
        </w:rPr>
        <w:t> </w:t>
      </w:r>
      <w:r>
        <w:rPr>
          <w:rFonts w:hint="eastAsia" w:ascii="仿宋" w:hAnsi="仿宋" w:eastAsia="仿宋" w:cs="仿宋"/>
          <w:sz w:val="25"/>
          <w:szCs w:val="25"/>
        </w:rPr>
        <w:t xml:space="preserve">   4、作品是由多人共同发表的，第一作者以100%计分，第二作者以80%计分，第三作者以60%计分，第四作者以40%计分，第五及以后作者以20%计分；</w:t>
      </w:r>
    </w:p>
    <w:p>
      <w:pPr>
        <w:pStyle w:val="8"/>
        <w:widowControl/>
        <w:spacing w:line="360" w:lineRule="auto"/>
      </w:pPr>
      <w:r>
        <w:rPr>
          <w:rFonts w:hint="eastAsia" w:ascii="宋体" w:hAnsi="宋体" w:eastAsia="宋体" w:cs="宋体"/>
          <w:sz w:val="25"/>
          <w:szCs w:val="25"/>
        </w:rPr>
        <w:t> </w:t>
      </w:r>
      <w:r>
        <w:rPr>
          <w:rFonts w:hint="eastAsia" w:ascii="仿宋" w:hAnsi="仿宋" w:eastAsia="仿宋" w:cs="仿宋"/>
          <w:sz w:val="25"/>
          <w:szCs w:val="25"/>
        </w:rPr>
        <w:t>   5、发表时间须在综合测评年度内，网上发表的新闻报道只限中山大学新闻网（不含校区新闻网），校区级文艺作品限定在社团社刊；</w:t>
      </w:r>
    </w:p>
    <w:p>
      <w:pPr>
        <w:pStyle w:val="8"/>
        <w:widowControl/>
        <w:spacing w:line="360" w:lineRule="auto"/>
        <w:ind w:firstLine="516"/>
      </w:pPr>
      <w:r>
        <w:rPr>
          <w:rFonts w:hint="eastAsia" w:ascii="仿宋" w:hAnsi="仿宋" w:eastAsia="仿宋" w:cs="仿宋"/>
          <w:sz w:val="25"/>
          <w:szCs w:val="25"/>
        </w:rPr>
        <w:t>6、发表作品须为非本职工作成果（如公开征稿被接收）；</w:t>
      </w:r>
    </w:p>
    <w:p>
      <w:pPr>
        <w:pStyle w:val="8"/>
        <w:widowControl/>
        <w:spacing w:line="360" w:lineRule="auto"/>
        <w:ind w:firstLine="516"/>
      </w:pPr>
      <w:r>
        <w:rPr>
          <w:rFonts w:hint="eastAsia" w:ascii="仿宋" w:hAnsi="仿宋" w:eastAsia="仿宋" w:cs="仿宋"/>
          <w:sz w:val="25"/>
          <w:szCs w:val="25"/>
        </w:rPr>
        <w:t>7、本项加分上限为1分，累加后超过1分的按1分计。</w:t>
      </w:r>
      <w:r>
        <w:rPr>
          <w:rStyle w:val="10"/>
          <w:rFonts w:hint="eastAsia" w:ascii="宋体" w:hAnsi="宋体" w:eastAsia="宋体" w:cs="宋体"/>
          <w:sz w:val="25"/>
          <w:szCs w:val="25"/>
        </w:rPr>
        <w:t> </w:t>
      </w:r>
    </w:p>
    <w:p>
      <w:pPr>
        <w:pStyle w:val="8"/>
        <w:widowControl/>
        <w:spacing w:before="96" w:beforeAutospacing="0" w:afterAutospacing="0" w:line="360" w:lineRule="auto"/>
      </w:pPr>
      <w:r>
        <w:rPr>
          <w:rStyle w:val="10"/>
          <w:rFonts w:hint="eastAsia" w:ascii="仿宋" w:hAnsi="仿宋" w:eastAsia="仿宋" w:cs="仿宋"/>
          <w:sz w:val="25"/>
          <w:szCs w:val="25"/>
        </w:rPr>
        <w:t>A.4科研与学习竞赛</w:t>
      </w:r>
    </w:p>
    <w:tbl>
      <w:tblPr>
        <w:tblStyle w:val="12"/>
        <w:tblW w:w="8079" w:type="dxa"/>
        <w:tblCellSpacing w:w="0" w:type="dxa"/>
        <w:tblInd w:w="15" w:type="dxa"/>
        <w:tblLayout w:type="fixed"/>
        <w:tblCellMar>
          <w:top w:w="0" w:type="dxa"/>
          <w:left w:w="0" w:type="dxa"/>
          <w:bottom w:w="0" w:type="dxa"/>
          <w:right w:w="0" w:type="dxa"/>
        </w:tblCellMar>
      </w:tblPr>
      <w:tblGrid>
        <w:gridCol w:w="282"/>
        <w:gridCol w:w="282"/>
        <w:gridCol w:w="282"/>
        <w:gridCol w:w="407"/>
        <w:gridCol w:w="407"/>
        <w:gridCol w:w="407"/>
        <w:gridCol w:w="282"/>
        <w:gridCol w:w="282"/>
        <w:gridCol w:w="407"/>
        <w:gridCol w:w="282"/>
        <w:gridCol w:w="282"/>
        <w:gridCol w:w="407"/>
        <w:gridCol w:w="407"/>
        <w:gridCol w:w="407"/>
        <w:gridCol w:w="407"/>
        <w:gridCol w:w="407"/>
        <w:gridCol w:w="407"/>
        <w:gridCol w:w="407"/>
        <w:gridCol w:w="407"/>
        <w:gridCol w:w="407"/>
        <w:gridCol w:w="407"/>
        <w:gridCol w:w="407"/>
      </w:tblGrid>
      <w:tr>
        <w:tblPrEx>
          <w:tblLayout w:type="fixed"/>
          <w:tblCellMar>
            <w:top w:w="0" w:type="dxa"/>
            <w:left w:w="0" w:type="dxa"/>
            <w:bottom w:w="0" w:type="dxa"/>
            <w:right w:w="0" w:type="dxa"/>
          </w:tblCellMar>
        </w:tblPrEx>
        <w:trPr>
          <w:trHeight w:val="889" w:hRule="atLeast"/>
          <w:tblCellSpacing w:w="0" w:type="dxa"/>
        </w:trPr>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等级</w:t>
            </w:r>
          </w:p>
        </w:tc>
        <w:tc>
          <w:tcPr>
            <w:tcW w:w="97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国际级</w:t>
            </w:r>
          </w:p>
        </w:tc>
        <w:tc>
          <w:tcPr>
            <w:tcW w:w="1096"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国家级</w:t>
            </w:r>
          </w:p>
        </w:tc>
        <w:tc>
          <w:tcPr>
            <w:tcW w:w="97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省级</w:t>
            </w:r>
          </w:p>
        </w:tc>
        <w:tc>
          <w:tcPr>
            <w:tcW w:w="1096"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市级</w:t>
            </w:r>
          </w:p>
        </w:tc>
        <w:tc>
          <w:tcPr>
            <w:tcW w:w="122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校级</w:t>
            </w:r>
          </w:p>
        </w:tc>
        <w:tc>
          <w:tcPr>
            <w:tcW w:w="122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校区级</w:t>
            </w:r>
          </w:p>
        </w:tc>
        <w:tc>
          <w:tcPr>
            <w:tcW w:w="1221" w:type="dxa"/>
            <w:gridSpan w:val="3"/>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院级</w:t>
            </w:r>
          </w:p>
        </w:tc>
      </w:tr>
      <w:tr>
        <w:tblPrEx>
          <w:tblLayout w:type="fixed"/>
          <w:tblCellMar>
            <w:top w:w="0" w:type="dxa"/>
            <w:left w:w="0" w:type="dxa"/>
            <w:bottom w:w="0" w:type="dxa"/>
            <w:right w:w="0" w:type="dxa"/>
          </w:tblCellMar>
        </w:tblPrEx>
        <w:trPr>
          <w:trHeight w:val="889" w:hRule="atLeast"/>
          <w:tblCellSpacing w:w="0" w:type="dxa"/>
        </w:trPr>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等级</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r>
      <w:tr>
        <w:tblPrEx>
          <w:tblLayout w:type="fixed"/>
          <w:tblCellMar>
            <w:top w:w="0" w:type="dxa"/>
            <w:left w:w="0" w:type="dxa"/>
            <w:bottom w:w="0" w:type="dxa"/>
            <w:right w:w="0" w:type="dxa"/>
          </w:tblCellMar>
        </w:tblPrEx>
        <w:trPr>
          <w:trHeight w:val="889" w:hRule="atLeast"/>
          <w:tblCellSpacing w:w="0" w:type="dxa"/>
        </w:trPr>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加分</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5</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4</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3.5</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4.5</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3.5</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3</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3</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2.5</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2</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2</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1.5</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1.3</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1.3</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1.1</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0.9</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0.9</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0.8</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0.7</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0.7</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0.6</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0.5</w:t>
            </w:r>
          </w:p>
        </w:tc>
      </w:tr>
    </w:tbl>
    <w:p>
      <w:pPr>
        <w:pStyle w:val="8"/>
        <w:widowControl/>
        <w:spacing w:line="360" w:lineRule="auto"/>
      </w:pPr>
      <w:r>
        <w:rPr>
          <w:rFonts w:hint="eastAsia" w:ascii="仿宋" w:hAnsi="仿宋" w:eastAsia="仿宋" w:cs="仿宋"/>
          <w:sz w:val="25"/>
          <w:szCs w:val="25"/>
        </w:rPr>
        <w:t>说明：</w:t>
      </w:r>
    </w:p>
    <w:p>
      <w:pPr>
        <w:pStyle w:val="8"/>
        <w:widowControl/>
        <w:spacing w:line="360" w:lineRule="auto"/>
      </w:pPr>
      <w:r>
        <w:rPr>
          <w:rFonts w:hint="eastAsia" w:ascii="仿宋" w:hAnsi="仿宋" w:eastAsia="仿宋" w:cs="仿宋"/>
          <w:sz w:val="25"/>
          <w:szCs w:val="25"/>
        </w:rPr>
        <w:t xml:space="preserve">  </w:t>
      </w:r>
      <w:r>
        <w:rPr>
          <w:rFonts w:hint="eastAsia" w:ascii="仿宋" w:hAnsi="仿宋" w:eastAsia="仿宋" w:cs="仿宋"/>
          <w:sz w:val="25"/>
          <w:szCs w:val="25"/>
          <w:lang w:val="en-US" w:eastAsia="zh-CN"/>
        </w:rPr>
        <w:t xml:space="preserve"> </w:t>
      </w:r>
      <w:r>
        <w:rPr>
          <w:rFonts w:hint="eastAsia" w:ascii="仿宋" w:hAnsi="仿宋" w:eastAsia="仿宋" w:cs="仿宋"/>
          <w:sz w:val="25"/>
          <w:szCs w:val="25"/>
        </w:rPr>
        <w:t>1、科研竞赛的种类是指挑战杯课外科技作品（含展望类科技论文）比赛、创业计划类比赛、科技制作大赛、社会科学论文竞赛等；</w:t>
      </w:r>
    </w:p>
    <w:p>
      <w:pPr>
        <w:pStyle w:val="8"/>
        <w:widowControl/>
        <w:spacing w:line="360" w:lineRule="auto"/>
      </w:pPr>
      <w:r>
        <w:rPr>
          <w:rFonts w:hint="eastAsia" w:ascii="宋体" w:hAnsi="宋体" w:eastAsia="宋体" w:cs="宋体"/>
          <w:sz w:val="25"/>
          <w:szCs w:val="25"/>
        </w:rPr>
        <w:t>  </w:t>
      </w:r>
      <w:r>
        <w:rPr>
          <w:rFonts w:hint="eastAsia" w:ascii="仿宋" w:hAnsi="仿宋" w:eastAsia="仿宋" w:cs="仿宋"/>
          <w:sz w:val="25"/>
          <w:szCs w:val="25"/>
        </w:rPr>
        <w:t>2、不同学科的学习竞赛可累加计分，同一学科的不同级别学习竞赛只计最高分，不累加；</w:t>
      </w:r>
    </w:p>
    <w:p>
      <w:pPr>
        <w:pStyle w:val="8"/>
        <w:widowControl/>
        <w:spacing w:line="360" w:lineRule="auto"/>
        <w:rPr>
          <w:rFonts w:hint="eastAsia" w:ascii="仿宋" w:hAnsi="仿宋" w:eastAsia="仿宋" w:cs="仿宋"/>
          <w:sz w:val="25"/>
          <w:szCs w:val="25"/>
        </w:rPr>
      </w:pPr>
      <w:r>
        <w:rPr>
          <w:rFonts w:hint="eastAsia" w:ascii="宋体" w:hAnsi="宋体" w:eastAsia="宋体" w:cs="宋体"/>
          <w:sz w:val="25"/>
          <w:szCs w:val="25"/>
        </w:rPr>
        <w:t>  </w:t>
      </w:r>
      <w:r>
        <w:rPr>
          <w:rFonts w:hint="eastAsia" w:ascii="仿宋" w:hAnsi="仿宋" w:eastAsia="仿宋" w:cs="仿宋"/>
          <w:sz w:val="25"/>
          <w:szCs w:val="25"/>
        </w:rPr>
        <w:t>3、同一科研成果获不同奖，只计最高分，不累加；不同科研成果获奖，可累加；</w:t>
      </w:r>
    </w:p>
    <w:p>
      <w:pPr>
        <w:pStyle w:val="8"/>
        <w:widowControl/>
        <w:spacing w:line="360" w:lineRule="auto"/>
        <w:ind w:firstLine="500" w:firstLineChars="200"/>
        <w:rPr>
          <w:rFonts w:hint="eastAsia" w:ascii="仿宋" w:hAnsi="仿宋" w:eastAsia="仿宋" w:cs="仿宋"/>
          <w:sz w:val="25"/>
          <w:szCs w:val="25"/>
        </w:rPr>
      </w:pPr>
      <w:r>
        <w:rPr>
          <w:rFonts w:hint="eastAsia" w:ascii="仿宋" w:hAnsi="仿宋" w:eastAsia="仿宋" w:cs="仿宋"/>
          <w:sz w:val="25"/>
          <w:szCs w:val="25"/>
        </w:rPr>
        <w:t>4、获奖时间须在综合测评年度内；</w:t>
      </w:r>
    </w:p>
    <w:p>
      <w:pPr>
        <w:pStyle w:val="8"/>
        <w:widowControl/>
        <w:spacing w:line="360" w:lineRule="auto"/>
        <w:ind w:firstLine="500" w:firstLineChars="200"/>
        <w:rPr>
          <w:rFonts w:hint="eastAsia" w:ascii="仿宋" w:hAnsi="仿宋" w:eastAsia="仿宋" w:cs="仿宋"/>
          <w:sz w:val="25"/>
          <w:szCs w:val="25"/>
        </w:rPr>
      </w:pPr>
      <w:r>
        <w:rPr>
          <w:rFonts w:hint="eastAsia" w:ascii="仿宋" w:hAnsi="仿宋" w:eastAsia="仿宋" w:cs="仿宋"/>
          <w:sz w:val="25"/>
          <w:szCs w:val="25"/>
        </w:rPr>
        <w:t>5、校际以校级计，校区际以校区级计，院际以院级计；</w:t>
      </w:r>
    </w:p>
    <w:p>
      <w:pPr>
        <w:pStyle w:val="8"/>
        <w:widowControl/>
        <w:spacing w:line="360" w:lineRule="auto"/>
        <w:ind w:firstLine="500" w:firstLineChars="200"/>
        <w:rPr>
          <w:rFonts w:hint="eastAsia" w:ascii="仿宋" w:hAnsi="仿宋" w:eastAsia="仿宋" w:cs="仿宋"/>
          <w:sz w:val="25"/>
          <w:szCs w:val="25"/>
        </w:rPr>
      </w:pPr>
      <w:r>
        <w:rPr>
          <w:rFonts w:hint="eastAsia" w:ascii="仿宋" w:hAnsi="仿宋" w:eastAsia="仿宋" w:cs="仿宋"/>
          <w:sz w:val="25"/>
          <w:szCs w:val="25"/>
        </w:rPr>
        <w:t>6、活动级别根据主办单位确定；各种竞赛的级别、类别的认证权在学院学工部；</w:t>
      </w:r>
    </w:p>
    <w:p>
      <w:pPr>
        <w:pStyle w:val="8"/>
        <w:widowControl/>
        <w:spacing w:line="360" w:lineRule="auto"/>
        <w:ind w:firstLine="500" w:firstLineChars="200"/>
        <w:rPr>
          <w:rFonts w:hint="eastAsia" w:ascii="仿宋" w:hAnsi="仿宋" w:eastAsia="仿宋" w:cs="仿宋"/>
          <w:sz w:val="25"/>
          <w:szCs w:val="25"/>
        </w:rPr>
      </w:pPr>
      <w:r>
        <w:rPr>
          <w:rFonts w:hint="eastAsia" w:ascii="仿宋" w:hAnsi="仿宋" w:eastAsia="仿宋" w:cs="仿宋"/>
          <w:sz w:val="25"/>
          <w:szCs w:val="25"/>
        </w:rPr>
        <w:t>7、比赛结果取前3名的则按等级算。若超过3名的，第1名以一等奖计，第2、3名以二等奖计，其后名次以三等奖计。</w:t>
      </w:r>
    </w:p>
    <w:p>
      <w:pPr>
        <w:pStyle w:val="8"/>
        <w:widowControl/>
        <w:spacing w:line="360" w:lineRule="auto"/>
        <w:ind w:firstLine="500" w:firstLineChars="200"/>
      </w:pPr>
      <w:r>
        <w:rPr>
          <w:rFonts w:hint="eastAsia" w:ascii="仿宋" w:hAnsi="仿宋" w:eastAsia="仿宋" w:cs="仿宋"/>
          <w:sz w:val="25"/>
          <w:szCs w:val="25"/>
        </w:rPr>
        <w:t>比赛结果取等级的则最高等级为一等奖，其余等级奖项依次顺延。（例如：“美国大学生建模大赛” Outstanding Winner按一等奖算，Finalist、Meritorious Winner按二等奖算，Honorable Mention按三等奖算。Unsuccessful Participant、Successful Participant不纳入加分等级。）</w:t>
      </w:r>
    </w:p>
    <w:p>
      <w:pPr>
        <w:pStyle w:val="8"/>
        <w:widowControl/>
        <w:spacing w:beforeAutospacing="0" w:afterAutospacing="0" w:line="360" w:lineRule="auto"/>
        <w:ind w:right="162" w:firstLine="384"/>
      </w:pPr>
      <w:r>
        <w:rPr>
          <w:rFonts w:hint="eastAsia" w:ascii="仿宋" w:hAnsi="仿宋" w:eastAsia="仿宋" w:cs="仿宋"/>
          <w:sz w:val="25"/>
          <w:szCs w:val="25"/>
        </w:rPr>
        <w:t>8、集体科研成果获奖按第一作者以100%计分，第二作者以80%计分，第三作者以60%计分，第四作者以40%计分，第五及以后作者以20%计分。</w:t>
      </w:r>
    </w:p>
    <w:p>
      <w:pPr>
        <w:pStyle w:val="8"/>
        <w:widowControl/>
        <w:spacing w:beforeAutospacing="0" w:afterAutospacing="0" w:line="360" w:lineRule="auto"/>
        <w:ind w:right="162" w:firstLine="384"/>
      </w:pPr>
      <w:r>
        <w:rPr>
          <w:rFonts w:hint="eastAsia" w:ascii="仿宋" w:hAnsi="仿宋" w:eastAsia="仿宋" w:cs="仿宋"/>
          <w:sz w:val="25"/>
          <w:szCs w:val="25"/>
        </w:rPr>
        <w:t>9、参加学院本科生研究性学习活动立项、结项，并参加评选，若评选无获奖，加0.3分；参与校级科研项目立项并结题，若评选无获奖，加0.5分；参与校级以上（市、省、国家级等）科研项目立项并结题，若评选无获奖，加0.8分。若研究性学习和科研项目立项的评选获奖，则根据获奖等级按科研类竞赛等级加分。</w:t>
      </w:r>
    </w:p>
    <w:p>
      <w:pPr>
        <w:pStyle w:val="8"/>
        <w:widowControl/>
        <w:spacing w:beforeAutospacing="0" w:afterAutospacing="0" w:line="360" w:lineRule="auto"/>
        <w:ind w:right="162" w:firstLine="384"/>
      </w:pPr>
      <w:r>
        <w:rPr>
          <w:rFonts w:hint="eastAsia" w:ascii="仿宋" w:hAnsi="仿宋" w:eastAsia="仿宋" w:cs="仿宋"/>
          <w:sz w:val="25"/>
          <w:szCs w:val="25"/>
        </w:rPr>
        <w:t>10、本项加分上限为5分，累加后超过5分的按5分计。</w:t>
      </w:r>
    </w:p>
    <w:p>
      <w:pPr>
        <w:pStyle w:val="8"/>
        <w:widowControl/>
        <w:spacing w:before="96" w:beforeAutospacing="0" w:afterAutospacing="0" w:line="360" w:lineRule="auto"/>
        <w:ind w:right="162" w:firstLine="384"/>
        <w:rPr>
          <w:color w:val="FF0000"/>
        </w:rPr>
      </w:pPr>
      <w:r>
        <w:rPr>
          <w:rStyle w:val="10"/>
          <w:rFonts w:hint="eastAsia" w:ascii="仿宋" w:hAnsi="仿宋" w:eastAsia="仿宋" w:cs="仿宋"/>
          <w:sz w:val="25"/>
          <w:szCs w:val="25"/>
        </w:rPr>
        <w:t>A.5文化类竞赛</w:t>
      </w:r>
    </w:p>
    <w:tbl>
      <w:tblPr>
        <w:tblStyle w:val="12"/>
        <w:tblW w:w="7483" w:type="dxa"/>
        <w:tblCellSpacing w:w="0" w:type="dxa"/>
        <w:tblInd w:w="15" w:type="dxa"/>
        <w:tblLayout w:type="fixed"/>
        <w:tblCellMar>
          <w:top w:w="0" w:type="dxa"/>
          <w:left w:w="0" w:type="dxa"/>
          <w:bottom w:w="0" w:type="dxa"/>
          <w:right w:w="0" w:type="dxa"/>
        </w:tblCellMar>
      </w:tblPr>
      <w:tblGrid>
        <w:gridCol w:w="282"/>
        <w:gridCol w:w="282"/>
        <w:gridCol w:w="407"/>
        <w:gridCol w:w="407"/>
        <w:gridCol w:w="407"/>
        <w:gridCol w:w="407"/>
        <w:gridCol w:w="407"/>
        <w:gridCol w:w="407"/>
        <w:gridCol w:w="407"/>
        <w:gridCol w:w="407"/>
        <w:gridCol w:w="407"/>
        <w:gridCol w:w="407"/>
        <w:gridCol w:w="407"/>
        <w:gridCol w:w="407"/>
        <w:gridCol w:w="407"/>
        <w:gridCol w:w="407"/>
        <w:gridCol w:w="407"/>
        <w:gridCol w:w="407"/>
        <w:gridCol w:w="407"/>
      </w:tblGrid>
      <w:tr>
        <w:tblPrEx>
          <w:tblLayout w:type="fixed"/>
          <w:tblCellMar>
            <w:top w:w="0" w:type="dxa"/>
            <w:left w:w="0" w:type="dxa"/>
            <w:bottom w:w="0" w:type="dxa"/>
            <w:right w:w="0" w:type="dxa"/>
          </w:tblCellMar>
        </w:tblPrEx>
        <w:trPr>
          <w:tblCellSpacing w:w="0" w:type="dxa"/>
        </w:trPr>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等级</w:t>
            </w:r>
          </w:p>
        </w:tc>
        <w:tc>
          <w:tcPr>
            <w:tcW w:w="1096"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国家级</w:t>
            </w:r>
          </w:p>
        </w:tc>
        <w:tc>
          <w:tcPr>
            <w:tcW w:w="122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省级</w:t>
            </w:r>
          </w:p>
        </w:tc>
        <w:tc>
          <w:tcPr>
            <w:tcW w:w="122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市级</w:t>
            </w:r>
          </w:p>
        </w:tc>
        <w:tc>
          <w:tcPr>
            <w:tcW w:w="122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校级</w:t>
            </w:r>
          </w:p>
        </w:tc>
        <w:tc>
          <w:tcPr>
            <w:tcW w:w="122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校区级</w:t>
            </w:r>
          </w:p>
        </w:tc>
        <w:tc>
          <w:tcPr>
            <w:tcW w:w="1221"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院级</w:t>
            </w:r>
          </w:p>
        </w:tc>
      </w:tr>
      <w:tr>
        <w:tblPrEx>
          <w:tblLayout w:type="fixed"/>
          <w:tblCellMar>
            <w:top w:w="0" w:type="dxa"/>
            <w:left w:w="0" w:type="dxa"/>
            <w:bottom w:w="0" w:type="dxa"/>
            <w:right w:w="0" w:type="dxa"/>
          </w:tblCellMar>
        </w:tblPrEx>
        <w:trPr>
          <w:tblCellSpacing w:w="0" w:type="dxa"/>
        </w:trPr>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等级</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一</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二</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三</w:t>
            </w:r>
          </w:p>
        </w:tc>
      </w:tr>
      <w:tr>
        <w:tblPrEx>
          <w:tblLayout w:type="fixed"/>
          <w:tblCellMar>
            <w:top w:w="0" w:type="dxa"/>
            <w:left w:w="0" w:type="dxa"/>
            <w:bottom w:w="0" w:type="dxa"/>
            <w:right w:w="0" w:type="dxa"/>
          </w:tblCellMar>
        </w:tblPrEx>
        <w:trPr>
          <w:tblCellSpacing w:w="0" w:type="dxa"/>
        </w:trPr>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加分</w:t>
            </w:r>
          </w:p>
        </w:tc>
        <w:tc>
          <w:tcPr>
            <w:tcW w:w="28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2</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1.8</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1.5</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1.5</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1.3</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1.2</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1.2</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1.1</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1.0</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1.0</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0.9</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0.8</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0.8</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0.7</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0.6</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0.6</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0.4</w:t>
            </w:r>
          </w:p>
        </w:tc>
        <w:tc>
          <w:tcPr>
            <w:tcW w:w="40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0.3</w:t>
            </w:r>
          </w:p>
        </w:tc>
      </w:tr>
    </w:tbl>
    <w:p>
      <w:pPr>
        <w:pStyle w:val="8"/>
        <w:widowControl/>
        <w:spacing w:line="360" w:lineRule="auto"/>
      </w:pPr>
      <w:r>
        <w:rPr>
          <w:rFonts w:hint="eastAsia" w:ascii="仿宋" w:hAnsi="仿宋" w:eastAsia="仿宋" w:cs="仿宋"/>
          <w:sz w:val="25"/>
          <w:szCs w:val="25"/>
        </w:rPr>
        <w:t>说明：</w:t>
      </w:r>
    </w:p>
    <w:p>
      <w:pPr>
        <w:pStyle w:val="8"/>
        <w:widowControl/>
        <w:numPr>
          <w:ilvl w:val="0"/>
          <w:numId w:val="2"/>
        </w:numPr>
        <w:spacing w:line="360" w:lineRule="auto"/>
        <w:ind w:firstLine="516"/>
      </w:pPr>
      <w:r>
        <w:rPr>
          <w:rFonts w:hint="eastAsia" w:ascii="仿宋" w:hAnsi="仿宋" w:eastAsia="仿宋" w:cs="仿宋"/>
          <w:sz w:val="25"/>
          <w:szCs w:val="25"/>
        </w:rPr>
        <w:t>文化类各种竞赛必须是经院、校、省及以上有关单位批准举办的活动，如：社会调查报告、辩论赛、演讲赛、知识竞赛、艺术节、歌唱比赛、舞蹈大赛、话剧比赛、风采展示比赛、手工类比赛等。如主办方是企业、协会，或其它社会组织，其获奖级别由院学工办统一认定；</w:t>
      </w:r>
    </w:p>
    <w:p>
      <w:pPr>
        <w:pStyle w:val="8"/>
        <w:widowControl/>
        <w:numPr>
          <w:ilvl w:val="0"/>
          <w:numId w:val="2"/>
        </w:numPr>
        <w:spacing w:line="360" w:lineRule="auto"/>
        <w:ind w:firstLine="516"/>
        <w:rPr>
          <w:rFonts w:hint="eastAsia" w:ascii="仿宋" w:hAnsi="仿宋" w:eastAsia="仿宋" w:cs="仿宋"/>
          <w:sz w:val="25"/>
          <w:szCs w:val="25"/>
        </w:rPr>
      </w:pPr>
      <w:r>
        <w:rPr>
          <w:rFonts w:hint="eastAsia" w:ascii="仿宋" w:hAnsi="仿宋" w:eastAsia="仿宋" w:cs="仿宋"/>
          <w:sz w:val="25"/>
          <w:szCs w:val="25"/>
        </w:rPr>
        <w:t>个人参加各类文体比赛中获单项奖的，如最佳、优秀、最受欢迎类奖励，按不同等级所属的分数区间，根据具体比赛情况给分（提交相关获奖证明）。如获院级比赛单项奖，加0.2分；获校区级比赛单项奖，加0.3分；获校级比赛单项奖，加0.4分；获市级比赛单项奖，加0.6分；获省级比赛单项奖，加1.0分，获国家级单项奖，加1.3分。如果同时获等级和单项奖励，则以最高分值项计分，不累加；如果是团体参加比赛中个人获单项奖的，如最佳辩手，按不同等级所属的分数区间，根据具体比赛情况同上给分（提交相关证明及比赛资料），且可以与团体获奖加分累加</w:t>
      </w:r>
      <w:r>
        <w:rPr>
          <w:rFonts w:hint="eastAsia" w:ascii="仿宋" w:hAnsi="仿宋" w:eastAsia="仿宋" w:cs="仿宋"/>
          <w:sz w:val="25"/>
          <w:szCs w:val="25"/>
          <w:lang w:eastAsia="zh-CN"/>
        </w:rPr>
        <w:t>；</w:t>
      </w:r>
    </w:p>
    <w:p>
      <w:pPr>
        <w:pStyle w:val="8"/>
        <w:widowControl/>
        <w:numPr>
          <w:ilvl w:val="0"/>
          <w:numId w:val="2"/>
        </w:numPr>
        <w:spacing w:line="360" w:lineRule="auto"/>
        <w:ind w:firstLine="516"/>
      </w:pPr>
      <w:r>
        <w:rPr>
          <w:rFonts w:hint="eastAsia" w:ascii="仿宋" w:hAnsi="仿宋" w:eastAsia="仿宋" w:cs="仿宋"/>
          <w:sz w:val="25"/>
          <w:szCs w:val="25"/>
        </w:rPr>
        <w:t>获团体奖项的个人可按所获名次加分。文艺表演类团体获奖的</w:t>
      </w:r>
      <w:r>
        <w:rPr>
          <w:rFonts w:hint="eastAsia" w:ascii="仿宋" w:hAnsi="仿宋" w:eastAsia="仿宋" w:cs="仿宋"/>
          <w:sz w:val="25"/>
          <w:szCs w:val="25"/>
          <w:lang w:val="en-US" w:eastAsia="zh-CN"/>
        </w:rPr>
        <w:t>所有</w:t>
      </w:r>
      <w:r>
        <w:rPr>
          <w:rFonts w:hint="eastAsia" w:ascii="仿宋" w:hAnsi="仿宋" w:eastAsia="仿宋" w:cs="仿宋"/>
          <w:sz w:val="25"/>
          <w:szCs w:val="25"/>
        </w:rPr>
        <w:t>演员加分如上；</w:t>
      </w:r>
      <w:r>
        <w:rPr>
          <w:rFonts w:hint="eastAsia" w:ascii="仿宋" w:hAnsi="仿宋" w:eastAsia="仿宋" w:cs="仿宋"/>
          <w:sz w:val="25"/>
          <w:szCs w:val="25"/>
          <w:lang w:val="en-US" w:eastAsia="zh-CN"/>
        </w:rPr>
        <w:t>参加具有竞赛</w:t>
      </w:r>
      <w:r>
        <w:rPr>
          <w:rFonts w:hint="eastAsia" w:ascii="仿宋" w:hAnsi="仿宋" w:eastAsia="仿宋" w:cs="仿宋"/>
          <w:sz w:val="25"/>
          <w:szCs w:val="25"/>
        </w:rPr>
        <w:t>性质的文艺汇演，由学校团委提供证明材料，</w:t>
      </w:r>
      <w:r>
        <w:rPr>
          <w:rFonts w:hint="eastAsia" w:ascii="仿宋" w:hAnsi="仿宋" w:eastAsia="仿宋" w:cs="仿宋"/>
          <w:sz w:val="25"/>
          <w:szCs w:val="25"/>
          <w:lang w:val="en-US" w:eastAsia="zh-CN"/>
        </w:rPr>
        <w:t>按相应名次及奖项进行加分</w:t>
      </w:r>
      <w:r>
        <w:rPr>
          <w:rFonts w:hint="eastAsia" w:ascii="仿宋" w:hAnsi="仿宋" w:eastAsia="仿宋" w:cs="仿宋"/>
          <w:sz w:val="25"/>
          <w:szCs w:val="25"/>
        </w:rPr>
        <w:t>；同一文艺汇演参演多次不累加，只计算一次加分</w:t>
      </w:r>
      <w:r>
        <w:rPr>
          <w:rFonts w:hint="eastAsia" w:ascii="仿宋" w:hAnsi="仿宋" w:eastAsia="仿宋" w:cs="仿宋"/>
          <w:sz w:val="25"/>
          <w:szCs w:val="25"/>
          <w:lang w:eastAsia="zh-CN"/>
        </w:rPr>
        <w:t>；</w:t>
      </w:r>
    </w:p>
    <w:p>
      <w:pPr>
        <w:pStyle w:val="8"/>
        <w:widowControl/>
        <w:numPr>
          <w:ilvl w:val="0"/>
          <w:numId w:val="2"/>
        </w:numPr>
        <w:spacing w:line="360" w:lineRule="auto"/>
        <w:ind w:firstLine="516"/>
        <w:rPr>
          <w:rFonts w:hint="eastAsia" w:ascii="仿宋" w:hAnsi="仿宋" w:eastAsia="仿宋" w:cs="仿宋"/>
          <w:sz w:val="25"/>
          <w:szCs w:val="25"/>
        </w:rPr>
      </w:pPr>
      <w:r>
        <w:rPr>
          <w:rFonts w:hint="eastAsia" w:ascii="仿宋" w:hAnsi="仿宋" w:eastAsia="仿宋" w:cs="仿宋"/>
          <w:sz w:val="25"/>
          <w:szCs w:val="25"/>
          <w:lang w:val="en-US" w:eastAsia="zh-CN"/>
        </w:rPr>
        <w:t>若比赛存在特等奖奖项，则特等奖加分在一等奖基础上乘以1.1；</w:t>
      </w:r>
    </w:p>
    <w:p>
      <w:pPr>
        <w:pStyle w:val="8"/>
        <w:widowControl/>
        <w:numPr>
          <w:ilvl w:val="0"/>
          <w:numId w:val="2"/>
        </w:numPr>
        <w:spacing w:line="360" w:lineRule="auto"/>
        <w:ind w:firstLine="516"/>
        <w:rPr>
          <w:rFonts w:hint="eastAsia" w:ascii="仿宋" w:hAnsi="仿宋" w:eastAsia="仿宋" w:cs="仿宋"/>
          <w:sz w:val="25"/>
          <w:szCs w:val="25"/>
        </w:rPr>
      </w:pPr>
      <w:r>
        <w:rPr>
          <w:rFonts w:hint="eastAsia" w:ascii="仿宋" w:hAnsi="仿宋" w:eastAsia="仿宋" w:cs="仿宋"/>
          <w:sz w:val="25"/>
          <w:szCs w:val="25"/>
        </w:rPr>
        <w:t>获奖时间须在综合测评年度内；</w:t>
      </w:r>
    </w:p>
    <w:p>
      <w:pPr>
        <w:pStyle w:val="8"/>
        <w:widowControl/>
        <w:numPr>
          <w:ilvl w:val="0"/>
          <w:numId w:val="2"/>
        </w:numPr>
        <w:spacing w:line="360" w:lineRule="auto"/>
        <w:ind w:firstLine="516"/>
        <w:rPr>
          <w:rFonts w:hint="eastAsia" w:ascii="仿宋" w:hAnsi="仿宋" w:eastAsia="仿宋" w:cs="仿宋"/>
          <w:sz w:val="25"/>
          <w:szCs w:val="25"/>
        </w:rPr>
      </w:pPr>
      <w:r>
        <w:rPr>
          <w:rFonts w:hint="eastAsia" w:ascii="仿宋" w:hAnsi="仿宋" w:eastAsia="仿宋" w:cs="仿宋"/>
          <w:sz w:val="25"/>
          <w:szCs w:val="25"/>
        </w:rPr>
        <w:t>活动级别根据主办单位确定；各种</w:t>
      </w:r>
      <w:bookmarkStart w:id="0" w:name="_Hlk529735719"/>
      <w:r>
        <w:rPr>
          <w:rFonts w:hint="eastAsia" w:ascii="仿宋" w:hAnsi="仿宋" w:eastAsia="仿宋" w:cs="仿宋"/>
          <w:sz w:val="25"/>
          <w:szCs w:val="25"/>
        </w:rPr>
        <w:t>竞赛的级别、类别的认证权在学院学工部；</w:t>
      </w:r>
      <w:bookmarkEnd w:id="0"/>
    </w:p>
    <w:p>
      <w:pPr>
        <w:pStyle w:val="8"/>
        <w:widowControl/>
        <w:numPr>
          <w:ilvl w:val="0"/>
          <w:numId w:val="2"/>
        </w:numPr>
        <w:spacing w:line="360" w:lineRule="auto"/>
        <w:ind w:firstLine="516"/>
        <w:rPr>
          <w:rFonts w:hint="eastAsia" w:ascii="仿宋" w:hAnsi="仿宋" w:eastAsia="仿宋" w:cs="仿宋"/>
          <w:sz w:val="25"/>
          <w:szCs w:val="25"/>
        </w:rPr>
      </w:pPr>
      <w:r>
        <w:rPr>
          <w:rFonts w:hint="eastAsia" w:ascii="仿宋" w:hAnsi="仿宋" w:eastAsia="仿宋" w:cs="仿宋"/>
          <w:sz w:val="25"/>
          <w:szCs w:val="25"/>
        </w:rPr>
        <w:t>若比赛结果取前3名的则按等级算；若超过3名的，第1名以一等奖计，第2、3名以二等奖计，第4到第8名以三等奖计；第8名之后的名次不加分</w:t>
      </w:r>
      <w:r>
        <w:rPr>
          <w:rFonts w:hint="eastAsia" w:ascii="仿宋" w:hAnsi="仿宋" w:eastAsia="仿宋" w:cs="仿宋"/>
          <w:sz w:val="25"/>
          <w:szCs w:val="25"/>
          <w:lang w:eastAsia="zh-CN"/>
        </w:rPr>
        <w:t>。</w:t>
      </w:r>
      <w:r>
        <w:rPr>
          <w:rFonts w:hint="eastAsia" w:ascii="仿宋" w:hAnsi="仿宋" w:eastAsia="仿宋" w:cs="仿宋"/>
          <w:sz w:val="25"/>
          <w:szCs w:val="25"/>
        </w:rPr>
        <w:t>  </w:t>
      </w:r>
    </w:p>
    <w:p>
      <w:pPr>
        <w:pStyle w:val="8"/>
        <w:widowControl/>
        <w:spacing w:line="360" w:lineRule="auto"/>
        <w:ind w:firstLine="420" w:firstLineChars="0"/>
      </w:pPr>
      <w:r>
        <w:rPr>
          <w:rFonts w:hint="eastAsia" w:ascii="仿宋" w:hAnsi="仿宋" w:eastAsia="仿宋" w:cs="仿宋"/>
          <w:sz w:val="25"/>
          <w:szCs w:val="25"/>
          <w:lang w:val="en-US" w:eastAsia="zh-CN"/>
        </w:rPr>
        <w:t>8、</w:t>
      </w:r>
      <w:r>
        <w:rPr>
          <w:rFonts w:hint="eastAsia" w:ascii="仿宋" w:hAnsi="仿宋" w:eastAsia="仿宋" w:cs="仿宋"/>
          <w:sz w:val="25"/>
          <w:szCs w:val="25"/>
        </w:rPr>
        <w:t>同一活动获不同级别奖励者，只计最高分，不累加；不同项目可累加；</w:t>
      </w:r>
      <w:r>
        <w:rPr>
          <w:rFonts w:hint="eastAsia" w:ascii="仿宋" w:hAnsi="仿宋" w:eastAsia="仿宋" w:cs="仿宋"/>
          <w:sz w:val="25"/>
          <w:szCs w:val="25"/>
          <w:lang w:val="en-US" w:eastAsia="zh-CN"/>
        </w:rPr>
        <w:tab/>
      </w:r>
      <w:r>
        <w:rPr>
          <w:rFonts w:hint="eastAsia" w:ascii="仿宋" w:hAnsi="仿宋" w:eastAsia="仿宋" w:cs="仿宋"/>
          <w:sz w:val="25"/>
          <w:szCs w:val="25"/>
          <w:lang w:val="en-US" w:eastAsia="zh-CN"/>
        </w:rPr>
        <w:t>9、</w:t>
      </w:r>
      <w:r>
        <w:rPr>
          <w:rFonts w:hint="eastAsia" w:ascii="仿宋" w:hAnsi="仿宋" w:eastAsia="仿宋" w:cs="仿宋"/>
          <w:sz w:val="25"/>
          <w:szCs w:val="25"/>
        </w:rPr>
        <w:t>本项加分上限为2分，累加后超过2分的按2分计。</w:t>
      </w:r>
    </w:p>
    <w:p>
      <w:pPr>
        <w:pStyle w:val="8"/>
        <w:widowControl/>
        <w:spacing w:before="96" w:beforeAutospacing="0" w:after="38" w:afterAutospacing="0" w:line="360" w:lineRule="auto"/>
        <w:rPr>
          <w:color w:val="FF0000"/>
        </w:rPr>
      </w:pPr>
      <w:r>
        <w:rPr>
          <w:rStyle w:val="10"/>
          <w:rFonts w:hint="eastAsia" w:ascii="仿宋" w:hAnsi="仿宋" w:eastAsia="仿宋" w:cs="仿宋"/>
          <w:sz w:val="25"/>
          <w:szCs w:val="25"/>
        </w:rPr>
        <w:t>A.6体育类竞赛</w:t>
      </w:r>
    </w:p>
    <w:tbl>
      <w:tblPr>
        <w:tblStyle w:val="12"/>
        <w:tblW w:w="7156" w:type="dxa"/>
        <w:tblCellSpacing w:w="0" w:type="dxa"/>
        <w:tblInd w:w="15" w:type="dxa"/>
        <w:tblLayout w:type="fixed"/>
        <w:tblCellMar>
          <w:top w:w="0" w:type="dxa"/>
          <w:left w:w="0" w:type="dxa"/>
          <w:bottom w:w="0" w:type="dxa"/>
          <w:right w:w="0" w:type="dxa"/>
        </w:tblCellMar>
      </w:tblPr>
      <w:tblGrid>
        <w:gridCol w:w="1412"/>
        <w:gridCol w:w="718"/>
        <w:gridCol w:w="718"/>
        <w:gridCol w:w="718"/>
        <w:gridCol w:w="718"/>
        <w:gridCol w:w="718"/>
        <w:gridCol w:w="718"/>
        <w:gridCol w:w="718"/>
        <w:gridCol w:w="718"/>
      </w:tblGrid>
      <w:tr>
        <w:tblPrEx>
          <w:tblLayout w:type="fixed"/>
          <w:tblCellMar>
            <w:top w:w="0" w:type="dxa"/>
            <w:left w:w="0" w:type="dxa"/>
            <w:bottom w:w="0" w:type="dxa"/>
            <w:right w:w="0" w:type="dxa"/>
          </w:tblCellMar>
        </w:tblPrEx>
        <w:trPr>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体育类名次</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2</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3</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4</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5</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6</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7</w:t>
            </w:r>
          </w:p>
        </w:tc>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8</w:t>
            </w:r>
          </w:p>
        </w:tc>
      </w:tr>
      <w:tr>
        <w:tblPrEx>
          <w:tblLayout w:type="fixed"/>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国家级</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3.0</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2.8</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2.6</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2.4</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2.3</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2.2</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2.1</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2.0</w:t>
            </w:r>
          </w:p>
        </w:tc>
      </w:tr>
      <w:tr>
        <w:tblPrEx>
          <w:tblLayout w:type="fixed"/>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省级</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2.0</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1.9</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1.8</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1.7</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1.6</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1.5</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1.4</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1.3</w:t>
            </w:r>
          </w:p>
        </w:tc>
      </w:tr>
      <w:tr>
        <w:tblPrEx>
          <w:tblLayout w:type="fixed"/>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市/校级</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1.2</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1.1</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1.0</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0.9</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0.8</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0.7</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0.6</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0.5</w:t>
            </w:r>
          </w:p>
        </w:tc>
      </w:tr>
      <w:tr>
        <w:tblPrEx>
          <w:tblLayout w:type="fixed"/>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校区级</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0.8</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0.7</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0.6</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0.5</w:t>
            </w:r>
          </w:p>
        </w:tc>
        <w:tc>
          <w:tcPr>
            <w:tcW w:w="2872" w:type="dxa"/>
            <w:gridSpan w:val="4"/>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0.3</w:t>
            </w:r>
          </w:p>
        </w:tc>
      </w:tr>
      <w:tr>
        <w:tblPrEx>
          <w:tblLayout w:type="fixed"/>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院级（非田径）</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0.6</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0.5</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0.4</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0.3</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w:t>
            </w:r>
          </w:p>
        </w:tc>
      </w:tr>
      <w:tr>
        <w:tblPrEx>
          <w:tblLayout w:type="fixed"/>
          <w:tblCellMar>
            <w:top w:w="0" w:type="dxa"/>
            <w:left w:w="0" w:type="dxa"/>
            <w:bottom w:w="0" w:type="dxa"/>
            <w:right w:w="0" w:type="dxa"/>
          </w:tblCellMar>
        </w:tblPrEx>
        <w:trPr>
          <w:trHeight w:val="325" w:hRule="atLeast"/>
          <w:tblCellSpacing w:w="0" w:type="dxa"/>
        </w:trPr>
        <w:tc>
          <w:tcPr>
            <w:tcW w:w="1412"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院运会田径比赛</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0.6</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0.5</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0.4</w:t>
            </w:r>
          </w:p>
        </w:tc>
        <w:tc>
          <w:tcPr>
            <w:tcW w:w="718"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0.3</w:t>
            </w:r>
          </w:p>
        </w:tc>
        <w:tc>
          <w:tcPr>
            <w:tcW w:w="2872" w:type="dxa"/>
            <w:gridSpan w:val="4"/>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0.1</w:t>
            </w:r>
          </w:p>
        </w:tc>
      </w:tr>
    </w:tbl>
    <w:p>
      <w:pPr>
        <w:pStyle w:val="8"/>
        <w:widowControl/>
        <w:spacing w:line="360" w:lineRule="auto"/>
      </w:pPr>
      <w:r>
        <w:rPr>
          <w:rFonts w:hint="eastAsia" w:ascii="宋体" w:hAnsi="宋体" w:eastAsia="宋体" w:cs="宋体"/>
          <w:sz w:val="25"/>
          <w:szCs w:val="25"/>
        </w:rPr>
        <w:t> </w:t>
      </w:r>
      <w:r>
        <w:rPr>
          <w:rFonts w:hint="eastAsia" w:ascii="仿宋" w:hAnsi="仿宋" w:eastAsia="仿宋" w:cs="仿宋"/>
          <w:sz w:val="25"/>
          <w:szCs w:val="25"/>
        </w:rPr>
        <w:t>说明：</w:t>
      </w:r>
    </w:p>
    <w:p>
      <w:pPr>
        <w:pStyle w:val="8"/>
        <w:widowControl/>
        <w:spacing w:line="360" w:lineRule="auto"/>
        <w:ind w:firstLine="500" w:firstLineChars="200"/>
      </w:pPr>
      <w:r>
        <w:rPr>
          <w:rFonts w:hint="eastAsia" w:ascii="仿宋" w:hAnsi="仿宋" w:eastAsia="仿宋" w:cs="仿宋"/>
          <w:sz w:val="25"/>
          <w:szCs w:val="25"/>
        </w:rPr>
        <w:t>1、友谊比赛不加分；趣味运动项目获奖加分参照同等级别田径类比赛加分取1/3值；</w:t>
      </w:r>
    </w:p>
    <w:p>
      <w:pPr>
        <w:pStyle w:val="8"/>
        <w:widowControl/>
        <w:spacing w:line="360" w:lineRule="auto"/>
        <w:ind w:firstLine="516"/>
        <w:rPr>
          <w:rFonts w:hint="eastAsia" w:ascii="仿宋" w:hAnsi="仿宋" w:eastAsia="仿宋" w:cs="仿宋"/>
          <w:sz w:val="25"/>
          <w:szCs w:val="25"/>
        </w:rPr>
      </w:pPr>
      <w:r>
        <w:rPr>
          <w:rFonts w:hint="eastAsia" w:ascii="仿宋" w:hAnsi="仿宋" w:eastAsia="仿宋" w:cs="仿宋"/>
          <w:sz w:val="25"/>
          <w:szCs w:val="25"/>
        </w:rPr>
        <w:t>2、体育比赛以每人每次每项计，同一项目在不同级别比赛获奖，只计最高分，不累加；同一大型比赛（例如校运会或者院运会等），不同项目可累加，但累加不可超过3项；获团体奖项者，如接力赛，个人可按此名次加分；</w:t>
      </w:r>
    </w:p>
    <w:p>
      <w:pPr>
        <w:pStyle w:val="8"/>
        <w:widowControl/>
        <w:spacing w:line="360" w:lineRule="auto"/>
        <w:ind w:firstLine="516"/>
        <w:rPr>
          <w:rFonts w:hint="eastAsia" w:ascii="仿宋" w:hAnsi="仿宋" w:eastAsia="仿宋" w:cs="仿宋"/>
          <w:sz w:val="25"/>
          <w:szCs w:val="25"/>
          <w:lang w:val="en-US" w:eastAsia="zh-CN"/>
        </w:rPr>
      </w:pPr>
      <w:r>
        <w:rPr>
          <w:rFonts w:hint="eastAsia" w:ascii="仿宋" w:hAnsi="仿宋" w:eastAsia="仿宋" w:cs="仿宋"/>
          <w:sz w:val="25"/>
          <w:szCs w:val="25"/>
          <w:lang w:val="en-US" w:eastAsia="zh-CN"/>
        </w:rPr>
        <w:t>3、体育比赛中的四强成绩按第四名加分，八强、十强均按第八名加分；</w:t>
      </w:r>
    </w:p>
    <w:p>
      <w:pPr>
        <w:pStyle w:val="8"/>
        <w:widowControl/>
        <w:spacing w:beforeAutospacing="0" w:afterAutospacing="0" w:line="360" w:lineRule="auto"/>
        <w:ind w:firstLine="500" w:firstLineChars="200"/>
        <w:rPr>
          <w:rFonts w:hint="eastAsia" w:ascii="仿宋" w:hAnsi="仿宋" w:eastAsia="仿宋" w:cs="仿宋"/>
          <w:sz w:val="25"/>
          <w:szCs w:val="25"/>
        </w:rPr>
      </w:pPr>
      <w:r>
        <w:rPr>
          <w:rFonts w:hint="eastAsia" w:ascii="仿宋" w:hAnsi="仿宋" w:eastAsia="仿宋" w:cs="仿宋"/>
          <w:sz w:val="25"/>
          <w:szCs w:val="25"/>
          <w:lang w:val="en-US" w:eastAsia="zh-CN"/>
        </w:rPr>
        <w:t>4</w:t>
      </w:r>
      <w:r>
        <w:rPr>
          <w:rFonts w:hint="eastAsia" w:ascii="仿宋" w:hAnsi="仿宋" w:eastAsia="仿宋" w:cs="仿宋"/>
          <w:sz w:val="25"/>
          <w:szCs w:val="25"/>
        </w:rPr>
        <w:t>、</w:t>
      </w:r>
      <w:r>
        <w:rPr>
          <w:rFonts w:hint="eastAsia" w:ascii="仿宋" w:hAnsi="仿宋" w:eastAsia="仿宋" w:cs="仿宋"/>
          <w:sz w:val="25"/>
          <w:szCs w:val="25"/>
          <w:lang w:val="en-US" w:eastAsia="zh-CN"/>
        </w:rPr>
        <w:t>参加</w:t>
      </w:r>
      <w:r>
        <w:rPr>
          <w:rFonts w:hint="eastAsia" w:ascii="仿宋" w:hAnsi="仿宋" w:eastAsia="仿宋" w:cs="仿宋"/>
          <w:sz w:val="25"/>
          <w:szCs w:val="25"/>
        </w:rPr>
        <w:t>集体项目</w:t>
      </w:r>
      <w:r>
        <w:rPr>
          <w:rFonts w:hint="eastAsia" w:ascii="仿宋" w:hAnsi="仿宋" w:eastAsia="仿宋" w:cs="仿宋"/>
          <w:sz w:val="25"/>
          <w:szCs w:val="25"/>
          <w:lang w:val="en-US" w:eastAsia="zh-CN"/>
        </w:rPr>
        <w:t>的</w:t>
      </w:r>
      <w:r>
        <w:rPr>
          <w:rFonts w:hint="eastAsia" w:ascii="仿宋" w:hAnsi="仿宋" w:eastAsia="仿宋" w:cs="仿宋"/>
          <w:sz w:val="25"/>
          <w:szCs w:val="25"/>
        </w:rPr>
        <w:t>队员</w:t>
      </w:r>
      <w:r>
        <w:rPr>
          <w:rFonts w:hint="eastAsia" w:ascii="仿宋" w:hAnsi="仿宋" w:eastAsia="仿宋" w:cs="仿宋"/>
          <w:sz w:val="25"/>
          <w:szCs w:val="25"/>
          <w:lang w:val="en-US" w:eastAsia="zh-CN"/>
        </w:rPr>
        <w:t>个人</w:t>
      </w:r>
      <w:r>
        <w:rPr>
          <w:rFonts w:hint="eastAsia" w:ascii="仿宋" w:hAnsi="仿宋" w:eastAsia="仿宋" w:cs="仿宋"/>
          <w:sz w:val="25"/>
          <w:szCs w:val="25"/>
        </w:rPr>
        <w:t>加分如上，</w:t>
      </w:r>
      <w:r>
        <w:rPr>
          <w:rFonts w:hint="eastAsia" w:ascii="仿宋" w:hAnsi="仿宋" w:eastAsia="仿宋" w:cs="仿宋"/>
          <w:sz w:val="25"/>
          <w:szCs w:val="25"/>
          <w:lang w:val="en-US" w:eastAsia="zh-CN"/>
        </w:rPr>
        <w:t>但要提供参加该体育赛事的报名表及其他证明材料</w:t>
      </w:r>
      <w:r>
        <w:rPr>
          <w:rFonts w:hint="eastAsia" w:ascii="仿宋" w:hAnsi="仿宋" w:eastAsia="仿宋" w:cs="仿宋"/>
          <w:sz w:val="25"/>
          <w:szCs w:val="25"/>
        </w:rPr>
        <w:t>；</w:t>
      </w:r>
    </w:p>
    <w:p>
      <w:pPr>
        <w:pStyle w:val="8"/>
        <w:widowControl/>
        <w:spacing w:beforeAutospacing="0" w:afterAutospacing="0" w:line="360" w:lineRule="auto"/>
        <w:ind w:firstLine="500" w:firstLineChars="200"/>
        <w:rPr>
          <w:rFonts w:hint="eastAsia" w:ascii="仿宋" w:hAnsi="仿宋" w:eastAsia="仿宋" w:cs="仿宋"/>
          <w:sz w:val="25"/>
          <w:szCs w:val="25"/>
        </w:rPr>
      </w:pPr>
      <w:r>
        <w:rPr>
          <w:rFonts w:hint="eastAsia" w:ascii="仿宋" w:hAnsi="仿宋" w:eastAsia="仿宋" w:cs="仿宋"/>
          <w:sz w:val="25"/>
          <w:szCs w:val="25"/>
          <w:lang w:val="en-US" w:eastAsia="zh-CN"/>
        </w:rPr>
        <w:t>5</w:t>
      </w:r>
      <w:r>
        <w:rPr>
          <w:rFonts w:hint="eastAsia" w:ascii="仿宋" w:hAnsi="仿宋" w:eastAsia="仿宋" w:cs="仿宋"/>
          <w:sz w:val="25"/>
          <w:szCs w:val="25"/>
        </w:rPr>
        <w:t>、破纪录加分（不计所得名次分）为相应名次分数乘以1.25；</w:t>
      </w:r>
    </w:p>
    <w:p>
      <w:pPr>
        <w:pStyle w:val="8"/>
        <w:widowControl/>
        <w:spacing w:beforeAutospacing="0" w:afterAutospacing="0" w:line="360" w:lineRule="auto"/>
        <w:ind w:firstLine="500" w:firstLineChars="200"/>
        <w:rPr>
          <w:rFonts w:hint="eastAsia" w:ascii="仿宋" w:hAnsi="仿宋" w:eastAsia="仿宋" w:cs="仿宋"/>
          <w:sz w:val="25"/>
          <w:szCs w:val="25"/>
        </w:rPr>
      </w:pPr>
      <w:r>
        <w:rPr>
          <w:rFonts w:hint="eastAsia" w:ascii="仿宋" w:hAnsi="仿宋" w:eastAsia="仿宋" w:cs="仿宋"/>
          <w:sz w:val="25"/>
          <w:szCs w:val="25"/>
          <w:lang w:val="en-US" w:eastAsia="zh-CN"/>
        </w:rPr>
        <w:t>6</w:t>
      </w:r>
      <w:r>
        <w:rPr>
          <w:rFonts w:hint="eastAsia" w:ascii="仿宋" w:hAnsi="仿宋" w:eastAsia="仿宋" w:cs="仿宋"/>
          <w:sz w:val="25"/>
          <w:szCs w:val="25"/>
        </w:rPr>
        <w:t>、参加马拉松赛跑完全程，没拿到名次，可加0.1分；</w:t>
      </w:r>
    </w:p>
    <w:p>
      <w:pPr>
        <w:pStyle w:val="8"/>
        <w:widowControl/>
        <w:spacing w:beforeAutospacing="0" w:afterAutospacing="0" w:line="360" w:lineRule="auto"/>
        <w:ind w:firstLine="500" w:firstLineChars="200"/>
      </w:pPr>
      <w:r>
        <w:rPr>
          <w:rFonts w:hint="eastAsia" w:ascii="仿宋" w:hAnsi="仿宋" w:eastAsia="仿宋" w:cs="仿宋"/>
          <w:sz w:val="25"/>
          <w:szCs w:val="25"/>
          <w:lang w:val="en-US" w:eastAsia="zh-CN"/>
        </w:rPr>
        <w:t>7</w:t>
      </w:r>
      <w:r>
        <w:rPr>
          <w:rFonts w:hint="eastAsia" w:ascii="仿宋" w:hAnsi="仿宋" w:eastAsia="仿宋" w:cs="仿宋"/>
          <w:sz w:val="25"/>
          <w:szCs w:val="25"/>
        </w:rPr>
        <w:t>、活动级别根据主办单位确定；各种竞赛的级别、类别的认证权在大气学院学工部；</w:t>
      </w:r>
    </w:p>
    <w:p>
      <w:pPr>
        <w:pStyle w:val="8"/>
        <w:widowControl/>
        <w:spacing w:beforeAutospacing="0" w:afterAutospacing="0" w:line="360" w:lineRule="auto"/>
        <w:ind w:firstLine="500" w:firstLineChars="200"/>
      </w:pPr>
      <w:r>
        <w:rPr>
          <w:rFonts w:hint="eastAsia" w:ascii="仿宋" w:hAnsi="仿宋" w:eastAsia="仿宋" w:cs="仿宋"/>
          <w:sz w:val="25"/>
          <w:szCs w:val="25"/>
          <w:lang w:val="en-US" w:eastAsia="zh-CN"/>
        </w:rPr>
        <w:t>8</w:t>
      </w:r>
      <w:r>
        <w:rPr>
          <w:rFonts w:hint="eastAsia" w:ascii="仿宋" w:hAnsi="仿宋" w:eastAsia="仿宋" w:cs="仿宋"/>
          <w:sz w:val="25"/>
          <w:szCs w:val="25"/>
        </w:rPr>
        <w:t>、本项加分上限为3分，累加后超过3分的按3分计。</w:t>
      </w:r>
    </w:p>
    <w:p>
      <w:pPr>
        <w:pStyle w:val="8"/>
        <w:widowControl/>
        <w:spacing w:line="360" w:lineRule="auto"/>
      </w:pPr>
      <w:r>
        <w:rPr>
          <w:rStyle w:val="10"/>
          <w:rFonts w:hint="eastAsia" w:ascii="仿宋" w:hAnsi="仿宋" w:eastAsia="仿宋" w:cs="仿宋"/>
          <w:sz w:val="25"/>
          <w:szCs w:val="25"/>
        </w:rPr>
        <w:t>一级指标B  领袖气质</w:t>
      </w:r>
    </w:p>
    <w:p>
      <w:pPr>
        <w:pStyle w:val="8"/>
        <w:widowControl/>
        <w:spacing w:line="360" w:lineRule="auto"/>
      </w:pPr>
      <w:r>
        <w:rPr>
          <w:rFonts w:hint="eastAsia" w:ascii="仿宋" w:hAnsi="仿宋" w:eastAsia="仿宋" w:cs="仿宋"/>
          <w:sz w:val="25"/>
          <w:szCs w:val="25"/>
        </w:rPr>
        <w:t>测评点：追求卓越，具有担当意识、集体意识以及人文素养。</w:t>
      </w:r>
    </w:p>
    <w:p>
      <w:pPr>
        <w:pStyle w:val="8"/>
        <w:widowControl/>
      </w:pPr>
      <w:r>
        <w:rPr>
          <w:rFonts w:hint="eastAsia" w:ascii="仿宋" w:hAnsi="仿宋" w:eastAsia="仿宋" w:cs="仿宋"/>
          <w:sz w:val="25"/>
          <w:szCs w:val="25"/>
        </w:rPr>
        <w:t>具体加分细则：</w:t>
      </w:r>
    </w:p>
    <w:p>
      <w:pPr>
        <w:pStyle w:val="8"/>
        <w:widowControl/>
        <w:spacing w:before="96" w:beforeAutospacing="0" w:afterAutospacing="0" w:line="360" w:lineRule="auto"/>
      </w:pPr>
      <w:r>
        <w:rPr>
          <w:rStyle w:val="10"/>
          <w:rFonts w:hint="eastAsia" w:ascii="仿宋" w:hAnsi="仿宋" w:eastAsia="仿宋" w:cs="仿宋"/>
          <w:sz w:val="25"/>
          <w:szCs w:val="25"/>
        </w:rPr>
        <w:t>B.1学生在评奖年度内获得的各种级别的先进集体和个人奖励、表彰</w:t>
      </w:r>
    </w:p>
    <w:tbl>
      <w:tblPr>
        <w:tblStyle w:val="12"/>
        <w:tblW w:w="6656" w:type="dxa"/>
        <w:tblCellSpacing w:w="0" w:type="dxa"/>
        <w:tblInd w:w="15" w:type="dxa"/>
        <w:tblLayout w:type="fixed"/>
        <w:tblCellMar>
          <w:top w:w="0" w:type="dxa"/>
          <w:left w:w="0" w:type="dxa"/>
          <w:bottom w:w="0" w:type="dxa"/>
          <w:right w:w="0" w:type="dxa"/>
        </w:tblCellMar>
      </w:tblPr>
      <w:tblGrid>
        <w:gridCol w:w="1921"/>
        <w:gridCol w:w="789"/>
        <w:gridCol w:w="789"/>
        <w:gridCol w:w="789"/>
        <w:gridCol w:w="789"/>
        <w:gridCol w:w="790"/>
        <w:gridCol w:w="789"/>
      </w:tblGrid>
      <w:tr>
        <w:tblPrEx>
          <w:tblLayout w:type="fixed"/>
          <w:tblCellMar>
            <w:top w:w="0" w:type="dxa"/>
            <w:left w:w="0" w:type="dxa"/>
            <w:bottom w:w="0" w:type="dxa"/>
            <w:right w:w="0" w:type="dxa"/>
          </w:tblCellMar>
        </w:tblPrEx>
        <w:trPr>
          <w:tblCellSpacing w:w="0" w:type="dxa"/>
        </w:trPr>
        <w:tc>
          <w:tcPr>
            <w:tcW w:w="192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表彰级别</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国家级</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省级</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市级</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校级</w:t>
            </w:r>
          </w:p>
        </w:tc>
        <w:tc>
          <w:tcPr>
            <w:tcW w:w="790" w:type="dxa"/>
            <w:tcBorders>
              <w:top w:val="single" w:color="000000" w:sz="6" w:space="0"/>
              <w:left w:val="single" w:color="000000" w:sz="6" w:space="0"/>
              <w:bottom w:val="single" w:color="000000" w:sz="6" w:space="0"/>
              <w:right w:val="single" w:color="000000" w:sz="6" w:space="0"/>
            </w:tcBorders>
            <w:shd w:val="clear" w:color="auto" w:fill="auto"/>
          </w:tcPr>
          <w:p>
            <w:pPr>
              <w:pStyle w:val="8"/>
              <w:widowControl/>
              <w:spacing w:line="360" w:lineRule="auto"/>
              <w:jc w:val="center"/>
            </w:pPr>
            <w:r>
              <w:rPr>
                <w:rFonts w:hint="eastAsia" w:ascii="仿宋" w:hAnsi="仿宋" w:eastAsia="仿宋" w:cs="仿宋"/>
                <w:sz w:val="25"/>
                <w:szCs w:val="25"/>
              </w:rPr>
              <w:t>校区级</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院级</w:t>
            </w:r>
          </w:p>
        </w:tc>
      </w:tr>
      <w:tr>
        <w:tblPrEx>
          <w:tblLayout w:type="fixed"/>
          <w:tblCellMar>
            <w:top w:w="0" w:type="dxa"/>
            <w:left w:w="0" w:type="dxa"/>
            <w:bottom w:w="0" w:type="dxa"/>
            <w:right w:w="0" w:type="dxa"/>
          </w:tblCellMar>
        </w:tblPrEx>
        <w:trPr>
          <w:tblCellSpacing w:w="0" w:type="dxa"/>
        </w:trPr>
        <w:tc>
          <w:tcPr>
            <w:tcW w:w="192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先进个人</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3.5</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2.0</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1.0</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0.8</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0.6</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0.5</w:t>
            </w:r>
          </w:p>
        </w:tc>
      </w:tr>
      <w:tr>
        <w:tblPrEx>
          <w:tblLayout w:type="fixed"/>
          <w:tblCellMar>
            <w:top w:w="0" w:type="dxa"/>
            <w:left w:w="0" w:type="dxa"/>
            <w:bottom w:w="0" w:type="dxa"/>
            <w:right w:w="0" w:type="dxa"/>
          </w:tblCellMar>
        </w:tblPrEx>
        <w:trPr>
          <w:tblCellSpacing w:w="0" w:type="dxa"/>
        </w:trPr>
        <w:tc>
          <w:tcPr>
            <w:tcW w:w="192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先进集体主要负责人</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3.0</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1.5</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0.6</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0.5</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0.4</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0.3</w:t>
            </w:r>
          </w:p>
        </w:tc>
      </w:tr>
      <w:tr>
        <w:tblPrEx>
          <w:tblLayout w:type="fixed"/>
        </w:tblPrEx>
        <w:trPr>
          <w:tblCellSpacing w:w="0" w:type="dxa"/>
        </w:trPr>
        <w:tc>
          <w:tcPr>
            <w:tcW w:w="192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先进集体一般负责人</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2.0</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1.0</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0.4</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0.3</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0.25</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0.2</w:t>
            </w:r>
          </w:p>
        </w:tc>
      </w:tr>
      <w:tr>
        <w:tblPrEx>
          <w:tblLayout w:type="fixed"/>
          <w:tblCellMar>
            <w:top w:w="0" w:type="dxa"/>
            <w:left w:w="0" w:type="dxa"/>
            <w:bottom w:w="0" w:type="dxa"/>
            <w:right w:w="0" w:type="dxa"/>
          </w:tblCellMar>
        </w:tblPrEx>
        <w:trPr>
          <w:tblCellSpacing w:w="0" w:type="dxa"/>
        </w:trPr>
        <w:tc>
          <w:tcPr>
            <w:tcW w:w="1921"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先进集体一般成员</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1.3</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0.5</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0.3</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0.15</w:t>
            </w:r>
          </w:p>
        </w:tc>
        <w:tc>
          <w:tcPr>
            <w:tcW w:w="78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0.1</w:t>
            </w:r>
          </w:p>
        </w:tc>
      </w:tr>
    </w:tbl>
    <w:p>
      <w:pPr>
        <w:pStyle w:val="8"/>
        <w:widowControl/>
        <w:spacing w:line="360" w:lineRule="auto"/>
        <w:rPr>
          <w:rFonts w:hint="eastAsia" w:ascii="仿宋" w:hAnsi="仿宋" w:eastAsia="仿宋" w:cs="仿宋"/>
          <w:color w:val="FF0000"/>
          <w:sz w:val="25"/>
          <w:szCs w:val="25"/>
          <w:lang w:eastAsia="zh-CN"/>
        </w:rPr>
      </w:pPr>
      <w:r>
        <w:rPr>
          <w:rFonts w:hint="eastAsia" w:ascii="仿宋" w:hAnsi="仿宋" w:eastAsia="仿宋" w:cs="仿宋"/>
          <w:color w:val="FF0000"/>
          <w:sz w:val="25"/>
          <w:szCs w:val="25"/>
        </w:rPr>
        <w:t> </w:t>
      </w:r>
    </w:p>
    <w:tbl>
      <w:tblPr>
        <w:tblStyle w:val="12"/>
        <w:tblW w:w="4548" w:type="dxa"/>
        <w:tblCellSpacing w:w="0" w:type="dxa"/>
        <w:tblInd w:w="15" w:type="dxa"/>
        <w:tblLayout w:type="fixed"/>
        <w:tblCellMar>
          <w:top w:w="0" w:type="dxa"/>
          <w:left w:w="0" w:type="dxa"/>
          <w:bottom w:w="0" w:type="dxa"/>
          <w:right w:w="0" w:type="dxa"/>
        </w:tblCellMar>
      </w:tblPr>
      <w:tblGrid>
        <w:gridCol w:w="1260"/>
        <w:gridCol w:w="1656"/>
        <w:gridCol w:w="1632"/>
      </w:tblGrid>
      <w:tr>
        <w:tblPrEx>
          <w:tblLayout w:type="fixed"/>
          <w:tblCellMar>
            <w:top w:w="0" w:type="dxa"/>
            <w:left w:w="0" w:type="dxa"/>
            <w:bottom w:w="0" w:type="dxa"/>
            <w:right w:w="0" w:type="dxa"/>
          </w:tblCellMar>
        </w:tblPrEx>
        <w:trPr>
          <w:tblCellSpacing w:w="0" w:type="dxa"/>
        </w:trPr>
        <w:tc>
          <w:tcPr>
            <w:tcW w:w="126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Style w:val="10"/>
                <w:rFonts w:hint="eastAsia" w:ascii="宋体" w:hAnsi="宋体" w:eastAsia="宋体" w:cs="宋体"/>
                <w:sz w:val="25"/>
                <w:szCs w:val="25"/>
              </w:rPr>
              <w:t> </w:t>
            </w:r>
            <w:r>
              <w:rPr>
                <w:rFonts w:hint="eastAsia" w:ascii="仿宋" w:hAnsi="仿宋" w:eastAsia="仿宋" w:cs="仿宋"/>
                <w:sz w:val="25"/>
                <w:szCs w:val="25"/>
              </w:rPr>
              <w:t>等级</w:t>
            </w:r>
          </w:p>
        </w:tc>
        <w:tc>
          <w:tcPr>
            <w:tcW w:w="165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校级十佳文明宿舍</w:t>
            </w:r>
          </w:p>
        </w:tc>
        <w:tc>
          <w:tcPr>
            <w:tcW w:w="16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校级文明宿舍</w:t>
            </w:r>
          </w:p>
        </w:tc>
      </w:tr>
      <w:tr>
        <w:tblPrEx>
          <w:tblLayout w:type="fixed"/>
          <w:tblCellMar>
            <w:top w:w="0" w:type="dxa"/>
            <w:left w:w="0" w:type="dxa"/>
            <w:bottom w:w="0" w:type="dxa"/>
            <w:right w:w="0" w:type="dxa"/>
          </w:tblCellMar>
        </w:tblPrEx>
        <w:trPr>
          <w:tblCellSpacing w:w="0" w:type="dxa"/>
        </w:trPr>
        <w:tc>
          <w:tcPr>
            <w:tcW w:w="126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宿舍成员</w:t>
            </w:r>
          </w:p>
        </w:tc>
        <w:tc>
          <w:tcPr>
            <w:tcW w:w="1656"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0.3</w:t>
            </w:r>
          </w:p>
        </w:tc>
        <w:tc>
          <w:tcPr>
            <w:tcW w:w="163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0.2</w:t>
            </w:r>
          </w:p>
        </w:tc>
      </w:tr>
    </w:tbl>
    <w:p>
      <w:pPr>
        <w:pStyle w:val="8"/>
        <w:widowControl/>
        <w:spacing w:line="360" w:lineRule="auto"/>
      </w:pPr>
      <w:r>
        <w:rPr>
          <w:rStyle w:val="10"/>
          <w:rFonts w:hint="eastAsia" w:ascii="仿宋" w:hAnsi="仿宋" w:eastAsia="仿宋" w:cs="仿宋"/>
          <w:sz w:val="25"/>
          <w:szCs w:val="25"/>
        </w:rPr>
        <w:t>说明：</w:t>
      </w:r>
    </w:p>
    <w:p>
      <w:pPr>
        <w:pStyle w:val="8"/>
        <w:widowControl/>
        <w:numPr>
          <w:ilvl w:val="0"/>
          <w:numId w:val="3"/>
        </w:numPr>
        <w:spacing w:line="360" w:lineRule="auto"/>
        <w:ind w:firstLine="516"/>
        <w:rPr>
          <w:rFonts w:hint="eastAsia" w:ascii="仿宋" w:hAnsi="仿宋" w:eastAsia="仿宋" w:cs="仿宋"/>
          <w:sz w:val="25"/>
          <w:szCs w:val="25"/>
        </w:rPr>
      </w:pPr>
      <w:r>
        <w:rPr>
          <w:rFonts w:hint="eastAsia" w:ascii="仿宋" w:hAnsi="仿宋" w:eastAsia="仿宋" w:cs="仿宋"/>
          <w:sz w:val="25"/>
          <w:szCs w:val="25"/>
        </w:rPr>
        <w:t>“先进个人”指：优秀学生、优秀学生干部、优秀共青团干部、优秀社团干部、优秀团员、优秀通讯员、优秀党员、“三下乡”先进个人、勤工助学先进个人、优秀大气圈成员、优秀志愿者、健康之星、运动之星、见义勇为、舍己救人、拾金不昧受到有关部门表彰者等；</w:t>
      </w:r>
    </w:p>
    <w:p>
      <w:pPr>
        <w:pStyle w:val="8"/>
        <w:widowControl/>
        <w:spacing w:line="360" w:lineRule="auto"/>
        <w:ind w:firstLine="516"/>
      </w:pPr>
      <w:r>
        <w:rPr>
          <w:rFonts w:hint="eastAsia" w:ascii="仿宋" w:hAnsi="仿宋" w:eastAsia="仿宋" w:cs="仿宋"/>
          <w:sz w:val="25"/>
          <w:szCs w:val="25"/>
        </w:rPr>
        <w:t>2、“先进集体”指：优良学风标兵班、优良学风班、红旗团支部</w:t>
      </w:r>
      <w:r>
        <w:rPr>
          <w:rStyle w:val="10"/>
          <w:rFonts w:hint="eastAsia" w:ascii="仿宋" w:hAnsi="仿宋" w:eastAsia="仿宋" w:cs="仿宋"/>
          <w:sz w:val="25"/>
          <w:szCs w:val="25"/>
        </w:rPr>
        <w:t>、</w:t>
      </w:r>
      <w:r>
        <w:rPr>
          <w:rFonts w:hint="eastAsia" w:ascii="仿宋" w:hAnsi="仿宋" w:eastAsia="仿宋" w:cs="仿宋"/>
          <w:sz w:val="25"/>
          <w:szCs w:val="25"/>
        </w:rPr>
        <w:t>优秀党支部、先进团委、优秀学生会、优秀社团等；</w:t>
      </w:r>
    </w:p>
    <w:p>
      <w:pPr>
        <w:pStyle w:val="8"/>
        <w:widowControl/>
        <w:spacing w:line="360" w:lineRule="auto"/>
      </w:pPr>
      <w:r>
        <w:t xml:space="preserve">   </w:t>
      </w:r>
      <w:r>
        <w:rPr>
          <w:rFonts w:hint="eastAsia" w:ascii="仿宋" w:hAnsi="仿宋" w:eastAsia="仿宋" w:cs="仿宋"/>
          <w:sz w:val="25"/>
          <w:szCs w:val="25"/>
        </w:rPr>
        <w:t>3、获得同一类别但级别不同的多项先进个人表彰者，除见义勇为、舍己救人、拾金不昧受到有关部门表彰外，如优秀团干的校级、省级或国家级，分数不累加，只计最高分；见义勇为、舍己救人、拾金不昧受到有关部门表彰的分数可与此最高分累加；</w:t>
      </w:r>
    </w:p>
    <w:p>
      <w:pPr>
        <w:pStyle w:val="8"/>
        <w:widowControl/>
        <w:numPr>
          <w:ilvl w:val="0"/>
          <w:numId w:val="0"/>
        </w:numPr>
        <w:spacing w:line="360" w:lineRule="auto"/>
        <w:ind w:firstLine="500" w:firstLineChars="200"/>
        <w:rPr>
          <w:rFonts w:hint="eastAsia" w:ascii="仿宋" w:hAnsi="仿宋" w:eastAsia="仿宋" w:cs="仿宋"/>
          <w:sz w:val="25"/>
          <w:szCs w:val="25"/>
        </w:rPr>
      </w:pPr>
      <w:r>
        <w:rPr>
          <w:rFonts w:hint="eastAsia" w:ascii="仿宋" w:hAnsi="仿宋" w:eastAsia="仿宋" w:cs="仿宋"/>
          <w:sz w:val="25"/>
          <w:szCs w:val="25"/>
          <w:lang w:val="en-US" w:eastAsia="zh-CN"/>
        </w:rPr>
        <w:t>4、</w:t>
      </w:r>
      <w:r>
        <w:rPr>
          <w:rFonts w:hint="eastAsia" w:ascii="仿宋" w:hAnsi="仿宋" w:eastAsia="仿宋" w:cs="仿宋"/>
          <w:sz w:val="25"/>
          <w:szCs w:val="25"/>
        </w:rPr>
        <w:t>凡获得多项先进集体表彰者除优良学风班和优良学风标兵班外，分数不累加，只计最高分；获得优良学风班或优良学风标兵班的可与其它最高分的一项累加；</w:t>
      </w:r>
    </w:p>
    <w:p>
      <w:pPr>
        <w:pStyle w:val="8"/>
        <w:widowControl/>
        <w:spacing w:line="360" w:lineRule="auto"/>
      </w:pPr>
      <w:r>
        <w:rPr>
          <w:rFonts w:hint="eastAsia" w:ascii="仿宋" w:hAnsi="仿宋" w:eastAsia="仿宋" w:cs="仿宋"/>
          <w:sz w:val="25"/>
          <w:szCs w:val="25"/>
        </w:rPr>
        <w:t xml:space="preserve">    </w:t>
      </w:r>
      <w:r>
        <w:rPr>
          <w:rFonts w:hint="eastAsia" w:ascii="仿宋" w:hAnsi="仿宋" w:eastAsia="仿宋" w:cs="仿宋"/>
          <w:sz w:val="25"/>
          <w:szCs w:val="25"/>
          <w:lang w:val="en-US" w:eastAsia="zh-CN"/>
        </w:rPr>
        <w:t xml:space="preserve"> </w:t>
      </w:r>
      <w:r>
        <w:rPr>
          <w:rFonts w:hint="eastAsia" w:ascii="仿宋" w:hAnsi="仿宋" w:eastAsia="仿宋" w:cs="仿宋"/>
          <w:sz w:val="25"/>
          <w:szCs w:val="25"/>
        </w:rPr>
        <w:t xml:space="preserve">5、获得优良学风标兵班的加分在校级基础上再奖励0.1分； </w:t>
      </w:r>
    </w:p>
    <w:p>
      <w:pPr>
        <w:pStyle w:val="8"/>
        <w:widowControl/>
        <w:spacing w:line="360" w:lineRule="auto"/>
        <w:ind w:firstLine="252"/>
      </w:pPr>
      <w:r>
        <w:rPr>
          <w:rFonts w:hint="eastAsia" w:ascii="宋体" w:hAnsi="宋体" w:eastAsia="宋体" w:cs="宋体"/>
          <w:sz w:val="25"/>
          <w:szCs w:val="25"/>
        </w:rPr>
        <w:t> </w:t>
      </w:r>
      <w:r>
        <w:rPr>
          <w:rFonts w:hint="eastAsia" w:ascii="仿宋" w:hAnsi="仿宋" w:eastAsia="仿宋" w:cs="仿宋"/>
          <w:sz w:val="25"/>
          <w:szCs w:val="25"/>
        </w:rPr>
        <w:t>6、主要负责人指党支部书记（当学生做支部书记时）、党支部副书记（若老师做支部书记，学生做支部副书记时）、学生会主席团、团委委员团、班长</w:t>
      </w:r>
      <w:r>
        <w:rPr>
          <w:rFonts w:hint="eastAsia" w:ascii="仿宋" w:hAnsi="仿宋" w:eastAsia="仿宋" w:cs="仿宋"/>
          <w:sz w:val="25"/>
          <w:szCs w:val="25"/>
          <w:lang w:eastAsia="zh-CN"/>
        </w:rPr>
        <w:t>、</w:t>
      </w:r>
      <w:r>
        <w:rPr>
          <w:rFonts w:hint="eastAsia" w:ascii="仿宋" w:hAnsi="仿宋" w:eastAsia="仿宋" w:cs="仿宋"/>
          <w:sz w:val="25"/>
          <w:szCs w:val="25"/>
        </w:rPr>
        <w:t>团支书</w:t>
      </w:r>
      <w:r>
        <w:rPr>
          <w:rFonts w:hint="eastAsia" w:ascii="仿宋" w:hAnsi="仿宋" w:eastAsia="仿宋" w:cs="仿宋"/>
          <w:sz w:val="25"/>
          <w:szCs w:val="25"/>
          <w:lang w:val="en-US" w:eastAsia="zh-CN"/>
        </w:rPr>
        <w:t>和学习委员</w:t>
      </w:r>
      <w:r>
        <w:rPr>
          <w:rFonts w:hint="eastAsia" w:ascii="仿宋" w:hAnsi="仿宋" w:eastAsia="仿宋" w:cs="仿宋"/>
          <w:sz w:val="25"/>
          <w:szCs w:val="25"/>
        </w:rPr>
        <w:t>、大气传媒中心正副职、大气科学学院风云学术中心正副职、社团正副职等；</w:t>
      </w:r>
    </w:p>
    <w:p>
      <w:pPr>
        <w:pStyle w:val="8"/>
        <w:widowControl/>
        <w:spacing w:line="360" w:lineRule="auto"/>
        <w:ind w:firstLine="132"/>
      </w:pPr>
      <w:r>
        <w:rPr>
          <w:rFonts w:hint="eastAsia" w:ascii="宋体" w:hAnsi="宋体" w:eastAsia="宋体" w:cs="宋体"/>
          <w:sz w:val="25"/>
          <w:szCs w:val="25"/>
        </w:rPr>
        <w:t> </w:t>
      </w:r>
      <w:r>
        <w:rPr>
          <w:rFonts w:hint="eastAsia" w:ascii="仿宋" w:hAnsi="仿宋" w:eastAsia="仿宋" w:cs="仿宋"/>
          <w:sz w:val="25"/>
          <w:szCs w:val="25"/>
        </w:rPr>
        <w:t> </w:t>
      </w:r>
      <w:r>
        <w:rPr>
          <w:rFonts w:hint="eastAsia" w:ascii="仿宋" w:hAnsi="仿宋" w:eastAsia="仿宋" w:cs="仿宋"/>
          <w:sz w:val="25"/>
          <w:szCs w:val="25"/>
          <w:lang w:val="en-US" w:eastAsia="zh-CN"/>
        </w:rPr>
        <w:t xml:space="preserve"> </w:t>
      </w:r>
      <w:r>
        <w:rPr>
          <w:rFonts w:hint="eastAsia" w:ascii="仿宋" w:hAnsi="仿宋" w:eastAsia="仿宋" w:cs="仿宋"/>
          <w:sz w:val="25"/>
          <w:szCs w:val="25"/>
        </w:rPr>
        <w:t>7、一般负责人指党支部委员、团委正副部长、学生会正副部长、班委、团支部委员、大气传媒中心正副部长、大气科学学院风云学术中心正副部长、社团正副部长等；</w:t>
      </w:r>
    </w:p>
    <w:p>
      <w:pPr>
        <w:pStyle w:val="8"/>
        <w:widowControl/>
        <w:spacing w:line="360" w:lineRule="auto"/>
      </w:pPr>
      <w:r>
        <w:rPr>
          <w:rFonts w:hint="eastAsia" w:ascii="仿宋" w:hAnsi="仿宋" w:eastAsia="仿宋" w:cs="仿宋"/>
          <w:sz w:val="25"/>
          <w:szCs w:val="25"/>
        </w:rPr>
        <w:t> </w:t>
      </w:r>
      <w:r>
        <w:rPr>
          <w:rFonts w:hint="eastAsia" w:ascii="仿宋" w:hAnsi="仿宋" w:eastAsia="仿宋" w:cs="仿宋"/>
          <w:sz w:val="25"/>
          <w:szCs w:val="25"/>
          <w:lang w:val="en-US" w:eastAsia="zh-CN"/>
        </w:rPr>
        <w:t xml:space="preserve">    </w:t>
      </w:r>
      <w:r>
        <w:rPr>
          <w:rFonts w:hint="eastAsia" w:ascii="仿宋" w:hAnsi="仿宋" w:eastAsia="仿宋" w:cs="仿宋"/>
          <w:sz w:val="25"/>
          <w:szCs w:val="25"/>
        </w:rPr>
        <w:t>8、一般成员指团委干事、学生会干事、班级成员、党支部党员、大气传媒中心干事、大气科学学院风云学术中心干事等；</w:t>
      </w:r>
    </w:p>
    <w:p>
      <w:pPr>
        <w:pStyle w:val="8"/>
        <w:widowControl/>
        <w:spacing w:line="360" w:lineRule="auto"/>
        <w:ind w:firstLine="516"/>
      </w:pPr>
      <w:r>
        <w:rPr>
          <w:rFonts w:hint="eastAsia" w:ascii="仿宋" w:hAnsi="仿宋" w:eastAsia="仿宋" w:cs="仿宋"/>
          <w:sz w:val="25"/>
          <w:szCs w:val="25"/>
        </w:rPr>
        <w:t>9、本类加分上限为3.5分，累加后超过3.5分的按3.5分计。</w:t>
      </w:r>
    </w:p>
    <w:p>
      <w:pPr>
        <w:pStyle w:val="8"/>
        <w:widowControl/>
        <w:spacing w:before="96" w:beforeAutospacing="0" w:afterAutospacing="0" w:line="360" w:lineRule="auto"/>
      </w:pPr>
      <w:r>
        <w:rPr>
          <w:rStyle w:val="10"/>
          <w:rFonts w:hint="eastAsia" w:ascii="仿宋" w:hAnsi="仿宋" w:eastAsia="仿宋" w:cs="仿宋"/>
          <w:sz w:val="25"/>
          <w:szCs w:val="25"/>
        </w:rPr>
        <w:t>B.2学生在评奖年度内参与社会工作，担任学生组织各级干部职务、团队领导</w:t>
      </w:r>
    </w:p>
    <w:tbl>
      <w:tblPr>
        <w:tblStyle w:val="12"/>
        <w:tblW w:w="7099" w:type="dxa"/>
        <w:tblCellSpacing w:w="0" w:type="dxa"/>
        <w:tblInd w:w="15" w:type="dxa"/>
        <w:tblLayout w:type="fixed"/>
        <w:tblCellMar>
          <w:top w:w="0" w:type="dxa"/>
          <w:left w:w="0" w:type="dxa"/>
          <w:bottom w:w="0" w:type="dxa"/>
          <w:right w:w="0" w:type="dxa"/>
        </w:tblCellMar>
      </w:tblPr>
      <w:tblGrid>
        <w:gridCol w:w="697"/>
        <w:gridCol w:w="6402"/>
      </w:tblGrid>
      <w:tr>
        <w:tblPrEx>
          <w:tblLayout w:type="fixed"/>
          <w:tblCellMar>
            <w:top w:w="0" w:type="dxa"/>
            <w:left w:w="0" w:type="dxa"/>
            <w:bottom w:w="0" w:type="dxa"/>
            <w:right w:w="0" w:type="dxa"/>
          </w:tblCellMar>
        </w:tblPrEx>
        <w:trPr>
          <w:tblCellSpacing w:w="0" w:type="dxa"/>
        </w:trPr>
        <w:tc>
          <w:tcPr>
            <w:tcW w:w="6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Style w:val="10"/>
                <w:rFonts w:hint="eastAsia" w:ascii="仿宋" w:hAnsi="仿宋" w:eastAsia="仿宋" w:cs="仿宋"/>
                <w:sz w:val="25"/>
                <w:szCs w:val="25"/>
              </w:rPr>
              <w:t>加分</w:t>
            </w:r>
          </w:p>
        </w:tc>
        <w:tc>
          <w:tcPr>
            <w:tcW w:w="640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Style w:val="10"/>
                <w:rFonts w:hint="eastAsia" w:ascii="仿宋" w:hAnsi="仿宋" w:eastAsia="仿宋" w:cs="仿宋"/>
                <w:sz w:val="25"/>
                <w:szCs w:val="25"/>
              </w:rPr>
              <w:t>职务级别</w:t>
            </w:r>
          </w:p>
        </w:tc>
      </w:tr>
      <w:tr>
        <w:tblPrEx>
          <w:tblLayout w:type="fixed"/>
          <w:tblCellMar>
            <w:top w:w="0" w:type="dxa"/>
            <w:left w:w="0" w:type="dxa"/>
            <w:bottom w:w="0" w:type="dxa"/>
            <w:right w:w="0" w:type="dxa"/>
          </w:tblCellMar>
        </w:tblPrEx>
        <w:trPr>
          <w:tblCellSpacing w:w="0" w:type="dxa"/>
        </w:trPr>
        <w:tc>
          <w:tcPr>
            <w:tcW w:w="6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1.3</w:t>
            </w:r>
          </w:p>
        </w:tc>
        <w:tc>
          <w:tcPr>
            <w:tcW w:w="640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rPr>
                <w:rFonts w:hint="eastAsia" w:eastAsia="仿宋"/>
                <w:lang w:val="en-US" w:eastAsia="zh-CN"/>
              </w:rPr>
            </w:pPr>
            <w:r>
              <w:rPr>
                <w:rFonts w:hint="eastAsia" w:ascii="仿宋" w:hAnsi="仿宋" w:eastAsia="仿宋" w:cs="仿宋"/>
                <w:sz w:val="25"/>
                <w:szCs w:val="25"/>
              </w:rPr>
              <w:t>校学生会</w:t>
            </w:r>
            <w:r>
              <w:rPr>
                <w:rFonts w:hint="eastAsia" w:ascii="仿宋" w:hAnsi="仿宋" w:eastAsia="仿宋" w:cs="仿宋"/>
                <w:sz w:val="25"/>
                <w:szCs w:val="25"/>
                <w:lang w:val="en-US" w:eastAsia="zh-CN"/>
              </w:rPr>
              <w:t>主席</w:t>
            </w:r>
          </w:p>
        </w:tc>
      </w:tr>
      <w:tr>
        <w:tblPrEx>
          <w:tblLayout w:type="fixed"/>
          <w:tblCellMar>
            <w:top w:w="0" w:type="dxa"/>
            <w:left w:w="0" w:type="dxa"/>
            <w:bottom w:w="0" w:type="dxa"/>
            <w:right w:w="0" w:type="dxa"/>
          </w:tblCellMar>
        </w:tblPrEx>
        <w:trPr>
          <w:tblCellSpacing w:w="0" w:type="dxa"/>
        </w:trPr>
        <w:tc>
          <w:tcPr>
            <w:tcW w:w="6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1.1</w:t>
            </w:r>
          </w:p>
        </w:tc>
        <w:tc>
          <w:tcPr>
            <w:tcW w:w="640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校学生会副主席</w:t>
            </w:r>
          </w:p>
        </w:tc>
      </w:tr>
      <w:tr>
        <w:tblPrEx>
          <w:tblLayout w:type="fixed"/>
          <w:tblCellMar>
            <w:top w:w="0" w:type="dxa"/>
            <w:left w:w="0" w:type="dxa"/>
            <w:bottom w:w="0" w:type="dxa"/>
            <w:right w:w="0" w:type="dxa"/>
          </w:tblCellMar>
        </w:tblPrEx>
        <w:trPr>
          <w:tblCellSpacing w:w="0" w:type="dxa"/>
        </w:trPr>
        <w:tc>
          <w:tcPr>
            <w:tcW w:w="6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1.0</w:t>
            </w:r>
          </w:p>
        </w:tc>
        <w:tc>
          <w:tcPr>
            <w:tcW w:w="640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校学生会部长，校团委</w:t>
            </w:r>
            <w:r>
              <w:rPr>
                <w:rFonts w:hint="eastAsia" w:ascii="仿宋" w:hAnsi="仿宋" w:eastAsia="仿宋" w:cs="仿宋"/>
                <w:sz w:val="25"/>
                <w:szCs w:val="25"/>
                <w:lang w:val="en-US" w:eastAsia="zh-CN"/>
              </w:rPr>
              <w:t>各部门</w:t>
            </w:r>
            <w:r>
              <w:rPr>
                <w:rFonts w:hint="eastAsia" w:ascii="仿宋" w:hAnsi="仿宋" w:eastAsia="仿宋" w:cs="仿宋"/>
                <w:sz w:val="25"/>
                <w:szCs w:val="25"/>
              </w:rPr>
              <w:t>部长，学校社团正职负责人</w:t>
            </w:r>
          </w:p>
        </w:tc>
      </w:tr>
      <w:tr>
        <w:tblPrEx>
          <w:tblLayout w:type="fixed"/>
          <w:tblCellMar>
            <w:top w:w="0" w:type="dxa"/>
            <w:left w:w="0" w:type="dxa"/>
            <w:bottom w:w="0" w:type="dxa"/>
            <w:right w:w="0" w:type="dxa"/>
          </w:tblCellMar>
        </w:tblPrEx>
        <w:trPr>
          <w:tblCellSpacing w:w="0" w:type="dxa"/>
        </w:trPr>
        <w:tc>
          <w:tcPr>
            <w:tcW w:w="6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0.8</w:t>
            </w:r>
          </w:p>
        </w:tc>
        <w:tc>
          <w:tcPr>
            <w:tcW w:w="640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校学生会副部长，校团委</w:t>
            </w:r>
            <w:r>
              <w:rPr>
                <w:rFonts w:hint="eastAsia" w:ascii="仿宋" w:hAnsi="仿宋" w:eastAsia="仿宋" w:cs="仿宋"/>
                <w:sz w:val="25"/>
                <w:szCs w:val="25"/>
                <w:lang w:val="en-US" w:eastAsia="zh-CN"/>
              </w:rPr>
              <w:t>各部门</w:t>
            </w:r>
            <w:r>
              <w:rPr>
                <w:rFonts w:hint="eastAsia" w:ascii="仿宋" w:hAnsi="仿宋" w:eastAsia="仿宋" w:cs="仿宋"/>
                <w:sz w:val="25"/>
                <w:szCs w:val="25"/>
              </w:rPr>
              <w:t>副部长，学校社团副职负责人</w:t>
            </w:r>
          </w:p>
        </w:tc>
      </w:tr>
      <w:tr>
        <w:tblPrEx>
          <w:tblLayout w:type="fixed"/>
          <w:tblCellMar>
            <w:top w:w="0" w:type="dxa"/>
            <w:left w:w="0" w:type="dxa"/>
            <w:bottom w:w="0" w:type="dxa"/>
            <w:right w:w="0" w:type="dxa"/>
          </w:tblCellMar>
        </w:tblPrEx>
        <w:trPr>
          <w:tblCellSpacing w:w="0" w:type="dxa"/>
        </w:trPr>
        <w:tc>
          <w:tcPr>
            <w:tcW w:w="697"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jc w:val="center"/>
            </w:pPr>
            <w:r>
              <w:rPr>
                <w:rFonts w:hint="eastAsia" w:ascii="仿宋" w:hAnsi="仿宋" w:eastAsia="仿宋" w:cs="仿宋"/>
                <w:sz w:val="25"/>
                <w:szCs w:val="25"/>
              </w:rPr>
              <w:t>0.6</w:t>
            </w:r>
          </w:p>
        </w:tc>
        <w:tc>
          <w:tcPr>
            <w:tcW w:w="640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校学生会</w:t>
            </w:r>
            <w:r>
              <w:rPr>
                <w:rFonts w:hint="eastAsia" w:ascii="仿宋" w:hAnsi="仿宋" w:eastAsia="仿宋" w:cs="仿宋"/>
                <w:sz w:val="25"/>
                <w:szCs w:val="25"/>
                <w:lang w:val="en-US" w:eastAsia="zh-CN"/>
              </w:rPr>
              <w:t>干事</w:t>
            </w:r>
            <w:r>
              <w:rPr>
                <w:rFonts w:hint="eastAsia" w:ascii="仿宋" w:hAnsi="仿宋" w:eastAsia="仿宋" w:cs="仿宋"/>
                <w:sz w:val="25"/>
                <w:szCs w:val="25"/>
              </w:rPr>
              <w:t>，校团委</w:t>
            </w:r>
            <w:r>
              <w:rPr>
                <w:rFonts w:hint="eastAsia" w:ascii="仿宋" w:hAnsi="仿宋" w:eastAsia="仿宋" w:cs="仿宋"/>
                <w:sz w:val="25"/>
                <w:szCs w:val="25"/>
                <w:lang w:val="en-US" w:eastAsia="zh-CN"/>
              </w:rPr>
              <w:t>干事</w:t>
            </w:r>
            <w:bookmarkStart w:id="1" w:name="_GoBack"/>
            <w:bookmarkEnd w:id="1"/>
            <w:r>
              <w:rPr>
                <w:rFonts w:hint="eastAsia" w:ascii="仿宋" w:hAnsi="仿宋" w:eastAsia="仿宋" w:cs="仿宋"/>
                <w:sz w:val="25"/>
                <w:szCs w:val="25"/>
              </w:rPr>
              <w:t>，学校社团正副部长级负责人</w:t>
            </w:r>
          </w:p>
        </w:tc>
      </w:tr>
    </w:tbl>
    <w:p>
      <w:pPr>
        <w:pStyle w:val="8"/>
        <w:widowControl/>
      </w:pPr>
      <w:r>
        <w:rPr>
          <w:rFonts w:hint="eastAsia" w:ascii="仿宋" w:hAnsi="仿宋" w:eastAsia="仿宋" w:cs="仿宋"/>
          <w:sz w:val="25"/>
          <w:szCs w:val="25"/>
        </w:rPr>
        <w:t> </w:t>
      </w:r>
    </w:p>
    <w:tbl>
      <w:tblPr>
        <w:tblStyle w:val="12"/>
        <w:tblW w:w="6696" w:type="dxa"/>
        <w:tblCellSpacing w:w="0" w:type="dxa"/>
        <w:tblInd w:w="15" w:type="dxa"/>
        <w:tblLayout w:type="fixed"/>
        <w:tblCellMar>
          <w:top w:w="0" w:type="dxa"/>
          <w:left w:w="0" w:type="dxa"/>
          <w:bottom w:w="0" w:type="dxa"/>
          <w:right w:w="0" w:type="dxa"/>
        </w:tblCellMar>
      </w:tblPr>
      <w:tblGrid>
        <w:gridCol w:w="684"/>
        <w:gridCol w:w="6012"/>
      </w:tblGrid>
      <w:tr>
        <w:tblPrEx>
          <w:tblLayout w:type="fixed"/>
          <w:tblCellMar>
            <w:top w:w="0" w:type="dxa"/>
            <w:left w:w="0" w:type="dxa"/>
            <w:bottom w:w="0" w:type="dxa"/>
            <w:right w:w="0" w:type="dxa"/>
          </w:tblCellMar>
        </w:tblPrEx>
        <w:trPr>
          <w:tblCellSpacing w:w="0" w:type="dxa"/>
        </w:trPr>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Style w:val="10"/>
                <w:rFonts w:hint="eastAsia" w:ascii="仿宋" w:hAnsi="仿宋" w:eastAsia="仿宋" w:cs="仿宋"/>
                <w:sz w:val="25"/>
                <w:szCs w:val="25"/>
              </w:rPr>
              <w:t>加分</w:t>
            </w:r>
          </w:p>
        </w:tc>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Style w:val="10"/>
                <w:rFonts w:hint="eastAsia" w:ascii="仿宋" w:hAnsi="仿宋" w:eastAsia="仿宋" w:cs="仿宋"/>
                <w:sz w:val="25"/>
                <w:szCs w:val="25"/>
              </w:rPr>
              <w:t>职务级别</w:t>
            </w:r>
          </w:p>
        </w:tc>
      </w:tr>
      <w:tr>
        <w:tblPrEx>
          <w:tblLayout w:type="fixed"/>
          <w:tblCellMar>
            <w:top w:w="0" w:type="dxa"/>
            <w:left w:w="0" w:type="dxa"/>
            <w:bottom w:w="0" w:type="dxa"/>
            <w:right w:w="0" w:type="dxa"/>
          </w:tblCellMar>
        </w:tblPrEx>
        <w:trPr>
          <w:tblCellSpacing w:w="0" w:type="dxa"/>
        </w:trPr>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1.3</w:t>
            </w:r>
          </w:p>
        </w:tc>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学院学生会主席、学院团委副书记、大气传媒中心主任、大气科学学院风云学术中心社长</w:t>
            </w:r>
          </w:p>
        </w:tc>
      </w:tr>
      <w:tr>
        <w:tblPrEx>
          <w:tblLayout w:type="fixed"/>
          <w:tblCellMar>
            <w:top w:w="0" w:type="dxa"/>
            <w:left w:w="0" w:type="dxa"/>
            <w:bottom w:w="0" w:type="dxa"/>
            <w:right w:w="0" w:type="dxa"/>
          </w:tblCellMar>
        </w:tblPrEx>
        <w:trPr>
          <w:tblCellSpacing w:w="0" w:type="dxa"/>
        </w:trPr>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1.2</w:t>
            </w:r>
          </w:p>
        </w:tc>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学院学生会副主席、团委委员、大气科学学院风云学术中心副社长、学生党支部书记、学生党支部副书记、班长、团支书、班级学习委员、大气传媒中心副主任</w:t>
            </w:r>
          </w:p>
        </w:tc>
      </w:tr>
      <w:tr>
        <w:tblPrEx>
          <w:tblLayout w:type="fixed"/>
          <w:tblCellMar>
            <w:top w:w="0" w:type="dxa"/>
            <w:left w:w="0" w:type="dxa"/>
            <w:bottom w:w="0" w:type="dxa"/>
            <w:right w:w="0" w:type="dxa"/>
          </w:tblCellMar>
        </w:tblPrEx>
        <w:trPr>
          <w:tblCellSpacing w:w="0" w:type="dxa"/>
        </w:trPr>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1.0</w:t>
            </w:r>
          </w:p>
        </w:tc>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学院学生会部长、团委部长、大气传媒中心部长</w:t>
            </w:r>
            <w:r>
              <w:rPr>
                <w:rFonts w:hint="eastAsia" w:ascii="仿宋" w:hAnsi="仿宋" w:eastAsia="仿宋" w:cs="仿宋"/>
                <w:sz w:val="25"/>
                <w:szCs w:val="25"/>
                <w:lang w:val="en-US" w:eastAsia="zh-CN"/>
              </w:rPr>
              <w:t>、至善之声负责人</w:t>
            </w:r>
            <w:r>
              <w:rPr>
                <w:rFonts w:hint="eastAsia" w:ascii="仿宋" w:hAnsi="仿宋" w:eastAsia="仿宋" w:cs="仿宋"/>
                <w:sz w:val="25"/>
                <w:szCs w:val="25"/>
              </w:rPr>
              <w:t>、大气科学学院风云学术中心部长、学院各学生党支部委员、学院大气圈圈主</w:t>
            </w:r>
          </w:p>
        </w:tc>
      </w:tr>
      <w:tr>
        <w:tblPrEx>
          <w:tblLayout w:type="fixed"/>
          <w:tblCellMar>
            <w:top w:w="0" w:type="dxa"/>
            <w:left w:w="0" w:type="dxa"/>
            <w:bottom w:w="0" w:type="dxa"/>
            <w:right w:w="0" w:type="dxa"/>
          </w:tblCellMar>
        </w:tblPrEx>
        <w:trPr>
          <w:tblCellSpacing w:w="0" w:type="dxa"/>
        </w:trPr>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0.8</w:t>
            </w:r>
          </w:p>
        </w:tc>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rPr>
                <w:rFonts w:hint="eastAsia" w:eastAsia="仿宋"/>
                <w:lang w:val="en-US" w:eastAsia="zh-CN"/>
              </w:rPr>
            </w:pPr>
            <w:r>
              <w:rPr>
                <w:rFonts w:hint="eastAsia" w:ascii="仿宋" w:hAnsi="仿宋" w:eastAsia="仿宋" w:cs="仿宋"/>
                <w:sz w:val="25"/>
                <w:szCs w:val="25"/>
              </w:rPr>
              <w:t>学院学生会副部长、大气传媒中心副部长、其他班委、院学生会文体队正职负责人、院团委副部长、团支部委员、大气科学学院风云学术中心副部长</w:t>
            </w:r>
            <w:r>
              <w:rPr>
                <w:rFonts w:hint="eastAsia" w:ascii="仿宋" w:hAnsi="仿宋" w:eastAsia="仿宋" w:cs="仿宋"/>
                <w:sz w:val="25"/>
                <w:szCs w:val="25"/>
                <w:lang w:eastAsia="zh-CN"/>
              </w:rPr>
              <w:t>、</w:t>
            </w:r>
            <w:r>
              <w:rPr>
                <w:rFonts w:hint="eastAsia" w:ascii="仿宋" w:hAnsi="仿宋" w:eastAsia="仿宋" w:cs="仿宋"/>
                <w:sz w:val="25"/>
                <w:szCs w:val="25"/>
                <w:lang w:val="en-US" w:eastAsia="zh-CN"/>
              </w:rPr>
              <w:t>学院艺术团团长、学院主礼队队长</w:t>
            </w:r>
          </w:p>
        </w:tc>
      </w:tr>
      <w:tr>
        <w:tblPrEx>
          <w:tblLayout w:type="fixed"/>
          <w:tblCellMar>
            <w:top w:w="0" w:type="dxa"/>
            <w:left w:w="0" w:type="dxa"/>
            <w:bottom w:w="0" w:type="dxa"/>
            <w:right w:w="0" w:type="dxa"/>
          </w:tblCellMar>
        </w:tblPrEx>
        <w:trPr>
          <w:tblCellSpacing w:w="0" w:type="dxa"/>
        </w:trPr>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0.6</w:t>
            </w:r>
          </w:p>
        </w:tc>
        <w:tc>
          <w:tcPr>
            <w:tcW w:w="601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8"/>
              <w:widowControl/>
              <w:spacing w:line="360" w:lineRule="auto"/>
            </w:pPr>
            <w:r>
              <w:rPr>
                <w:rFonts w:hint="eastAsia" w:ascii="仿宋" w:hAnsi="仿宋" w:eastAsia="仿宋" w:cs="仿宋"/>
                <w:sz w:val="25"/>
                <w:szCs w:val="25"/>
              </w:rPr>
              <w:t>学院学生会干事、学院团委干事、学院学生会文体队的副职负责人、大气科学学院风云学术中心干事、大气传媒中心干事（若被评为优秀通讯员则变为加0.8）、学院大气圈一般成员</w:t>
            </w:r>
          </w:p>
        </w:tc>
      </w:tr>
    </w:tbl>
    <w:p>
      <w:pPr>
        <w:pStyle w:val="8"/>
        <w:widowControl/>
        <w:spacing w:line="360" w:lineRule="auto"/>
      </w:pPr>
      <w:r>
        <w:rPr>
          <w:rFonts w:hint="eastAsia" w:ascii="仿宋" w:hAnsi="仿宋" w:eastAsia="仿宋" w:cs="仿宋"/>
          <w:sz w:val="25"/>
          <w:szCs w:val="25"/>
        </w:rPr>
        <w:t>说明：</w:t>
      </w:r>
    </w:p>
    <w:p>
      <w:pPr>
        <w:pStyle w:val="8"/>
        <w:widowControl/>
        <w:spacing w:line="360" w:lineRule="auto"/>
      </w:pPr>
      <w:r>
        <w:t>  </w:t>
      </w:r>
      <w:r>
        <w:rPr>
          <w:rFonts w:hint="eastAsia" w:ascii="仿宋" w:hAnsi="仿宋" w:eastAsia="仿宋" w:cs="仿宋"/>
          <w:sz w:val="25"/>
          <w:szCs w:val="25"/>
        </w:rPr>
        <w:t>1、兼任多项社会工作者，可将担任的各职级相应分数累加，加分上限为 2分，累加后超过2分的按2分计；</w:t>
      </w:r>
    </w:p>
    <w:p>
      <w:pPr>
        <w:pStyle w:val="8"/>
        <w:widowControl/>
        <w:spacing w:line="360" w:lineRule="auto"/>
      </w:pPr>
      <w:r>
        <w:rPr>
          <w:rFonts w:hint="eastAsia" w:ascii="宋体" w:hAnsi="宋体" w:eastAsia="宋体" w:cs="宋体"/>
          <w:sz w:val="25"/>
          <w:szCs w:val="25"/>
        </w:rPr>
        <w:t> </w:t>
      </w:r>
      <w:r>
        <w:rPr>
          <w:rFonts w:hint="eastAsia" w:ascii="仿宋" w:hAnsi="仿宋" w:eastAsia="仿宋" w:cs="仿宋"/>
          <w:sz w:val="25"/>
          <w:szCs w:val="25"/>
        </w:rPr>
        <w:t>  2、学生干部必须任期达到半年及以上方可加分，任职时间不满一届但达到一学期及以上时间的只计一半分，任期达到一学期以上且任满一届的可加满分；</w:t>
      </w:r>
    </w:p>
    <w:p>
      <w:pPr>
        <w:pStyle w:val="8"/>
        <w:widowControl/>
        <w:spacing w:line="360" w:lineRule="auto"/>
        <w:ind w:firstLine="384"/>
      </w:pPr>
      <w:r>
        <w:rPr>
          <w:rFonts w:hint="eastAsia" w:ascii="仿宋" w:hAnsi="仿宋" w:eastAsia="仿宋" w:cs="仿宋"/>
          <w:sz w:val="25"/>
          <w:szCs w:val="25"/>
        </w:rPr>
        <w:t>3、校、院各级学生干部在年度总结中须经上一级组织评议确认工作表现，作为加分依据。如学校团干部、学生会干部的考核成绩由校团委出据加分证明；其他社团的学生干部由该社团负责人出示证明；学院各大组织学生组织干部考核成绩由学工部民主评议出示加分证明；班委和团支部干部由所在班级同学民主评议出据加分意见；党支部委员由所在党支部评议出据加分意见。</w:t>
      </w:r>
    </w:p>
    <w:p>
      <w:pPr>
        <w:pStyle w:val="8"/>
        <w:widowControl/>
        <w:spacing w:line="360" w:lineRule="auto"/>
      </w:pPr>
      <w:r>
        <w:rPr>
          <w:rFonts w:hint="eastAsia" w:ascii="宋体" w:hAnsi="宋体" w:eastAsia="宋体" w:cs="宋体"/>
          <w:sz w:val="25"/>
          <w:szCs w:val="25"/>
        </w:rPr>
        <w:t> </w:t>
      </w:r>
      <w:r>
        <w:rPr>
          <w:rFonts w:hint="eastAsia" w:ascii="仿宋" w:hAnsi="仿宋" w:eastAsia="仿宋" w:cs="仿宋"/>
          <w:sz w:val="25"/>
          <w:szCs w:val="25"/>
        </w:rPr>
        <w:t>  4、担任各组织的学生干部必须在测评前向自己所在的评审小组提供任职证明；</w:t>
      </w:r>
    </w:p>
    <w:p>
      <w:pPr>
        <w:pStyle w:val="8"/>
        <w:widowControl/>
        <w:spacing w:line="360" w:lineRule="auto"/>
        <w:ind w:firstLine="252"/>
      </w:pPr>
      <w:r>
        <w:rPr>
          <w:rFonts w:hint="eastAsia" w:ascii="宋体" w:hAnsi="宋体" w:eastAsia="宋体" w:cs="宋体"/>
          <w:sz w:val="25"/>
          <w:szCs w:val="25"/>
        </w:rPr>
        <w:t> </w:t>
      </w:r>
      <w:r>
        <w:rPr>
          <w:rFonts w:hint="eastAsia" w:ascii="仿宋" w:hAnsi="仿宋" w:eastAsia="仿宋" w:cs="仿宋"/>
          <w:sz w:val="25"/>
          <w:szCs w:val="25"/>
        </w:rPr>
        <w:t>5、校内各种学生社团必须是经学校团委批准正式注册的社团组织。</w:t>
      </w:r>
    </w:p>
    <w:p>
      <w:pPr>
        <w:pStyle w:val="8"/>
        <w:widowControl/>
      </w:pPr>
      <w:r>
        <w:rPr>
          <w:rFonts w:hint="eastAsia" w:ascii="仿宋" w:hAnsi="仿宋" w:eastAsia="仿宋" w:cs="仿宋"/>
          <w:sz w:val="25"/>
          <w:szCs w:val="25"/>
        </w:rPr>
        <w:t> </w:t>
      </w:r>
    </w:p>
    <w:p>
      <w:pPr>
        <w:pStyle w:val="8"/>
        <w:widowControl/>
        <w:spacing w:line="360" w:lineRule="auto"/>
      </w:pPr>
      <w:r>
        <w:rPr>
          <w:rStyle w:val="10"/>
          <w:rFonts w:hint="eastAsia" w:ascii="仿宋" w:hAnsi="仿宋" w:eastAsia="仿宋" w:cs="仿宋"/>
          <w:sz w:val="25"/>
          <w:szCs w:val="25"/>
        </w:rPr>
        <w:t>一级指标C  家国情怀</w:t>
      </w:r>
    </w:p>
    <w:p>
      <w:pPr>
        <w:pStyle w:val="8"/>
        <w:widowControl/>
        <w:spacing w:line="360" w:lineRule="auto"/>
      </w:pPr>
      <w:r>
        <w:rPr>
          <w:rFonts w:hint="eastAsia" w:ascii="仿宋" w:hAnsi="仿宋" w:eastAsia="仿宋" w:cs="仿宋"/>
          <w:sz w:val="25"/>
          <w:szCs w:val="25"/>
        </w:rPr>
        <w:t>测评点：爱国荣校、集体观念、志愿服务、社会责任。</w:t>
      </w:r>
    </w:p>
    <w:p>
      <w:pPr>
        <w:pStyle w:val="8"/>
        <w:widowControl/>
      </w:pPr>
      <w:r>
        <w:rPr>
          <w:rFonts w:hint="eastAsia" w:ascii="仿宋" w:hAnsi="仿宋" w:eastAsia="仿宋" w:cs="仿宋"/>
          <w:sz w:val="25"/>
          <w:szCs w:val="25"/>
        </w:rPr>
        <w:t>具体加分细则：</w:t>
      </w:r>
    </w:p>
    <w:p>
      <w:pPr>
        <w:pStyle w:val="8"/>
        <w:widowControl/>
        <w:spacing w:before="96" w:beforeAutospacing="0" w:afterAutospacing="0" w:line="360" w:lineRule="auto"/>
      </w:pPr>
      <w:r>
        <w:rPr>
          <w:rStyle w:val="10"/>
          <w:rFonts w:hint="eastAsia" w:ascii="仿宋" w:hAnsi="仿宋" w:eastAsia="仿宋" w:cs="仿宋"/>
          <w:sz w:val="25"/>
          <w:szCs w:val="25"/>
        </w:rPr>
        <w:t>C.1 参与、组织策划公益活动及社会服务获得公益时</w:t>
      </w:r>
    </w:p>
    <w:p>
      <w:pPr>
        <w:pStyle w:val="8"/>
        <w:widowControl/>
        <w:spacing w:line="360" w:lineRule="auto"/>
        <w:ind w:firstLine="516"/>
      </w:pPr>
      <w:r>
        <w:rPr>
          <w:rFonts w:hint="eastAsia" w:ascii="仿宋" w:hAnsi="仿宋" w:eastAsia="仿宋" w:cs="仿宋"/>
          <w:sz w:val="25"/>
          <w:szCs w:val="25"/>
        </w:rPr>
        <w:t>学生获得的公益时数可以转换成综测加分，其中每满50个公益时可转换成0.1分，最高可加0.3分，累加后超过0.3分的按0.3分计。</w:t>
      </w:r>
    </w:p>
    <w:p>
      <w:pPr>
        <w:pStyle w:val="8"/>
        <w:widowControl/>
        <w:spacing w:line="360" w:lineRule="auto"/>
        <w:rPr>
          <w:color w:val="FF0000"/>
        </w:rPr>
      </w:pPr>
      <w:r>
        <w:rPr>
          <w:rStyle w:val="10"/>
          <w:rFonts w:hint="eastAsia" w:ascii="仿宋" w:hAnsi="仿宋" w:eastAsia="仿宋" w:cs="仿宋"/>
          <w:sz w:val="25"/>
          <w:szCs w:val="25"/>
        </w:rPr>
        <w:t>C.2 参与集体活动</w:t>
      </w:r>
    </w:p>
    <w:p>
      <w:pPr>
        <w:pStyle w:val="8"/>
        <w:widowControl/>
        <w:spacing w:line="360" w:lineRule="auto"/>
        <w:ind w:firstLine="516"/>
      </w:pPr>
      <w:r>
        <w:rPr>
          <w:rFonts w:hint="eastAsia" w:ascii="仿宋" w:hAnsi="仿宋" w:eastAsia="仿宋" w:cs="仿宋"/>
          <w:sz w:val="25"/>
          <w:szCs w:val="25"/>
        </w:rPr>
        <w:t>参加学院指定的重要会议活动任务，会议或活动形式包括但不限于：</w:t>
      </w:r>
    </w:p>
    <w:p>
      <w:pPr>
        <w:pStyle w:val="8"/>
        <w:widowControl/>
        <w:spacing w:beforeAutospacing="0" w:afterAutospacing="0" w:line="360" w:lineRule="auto"/>
        <w:ind w:left="1088"/>
      </w:pPr>
      <w:r>
        <w:rPr>
          <w:rFonts w:hint="eastAsia" w:ascii="仿宋" w:hAnsi="仿宋" w:eastAsia="仿宋" w:cs="仿宋"/>
          <w:sz w:val="25"/>
          <w:szCs w:val="25"/>
        </w:rPr>
        <w:t>1、理想信念和思想道德教育活动和重要理论学习；</w:t>
      </w:r>
    </w:p>
    <w:p>
      <w:pPr>
        <w:pStyle w:val="8"/>
        <w:widowControl/>
        <w:spacing w:beforeAutospacing="0" w:afterAutospacing="0" w:line="360" w:lineRule="auto"/>
        <w:ind w:left="1088"/>
      </w:pPr>
      <w:r>
        <w:rPr>
          <w:rFonts w:hint="eastAsia" w:ascii="仿宋" w:hAnsi="仿宋" w:eastAsia="仿宋" w:cs="仿宋"/>
          <w:sz w:val="25"/>
          <w:szCs w:val="25"/>
        </w:rPr>
        <w:t>2、校内、院内先进人物事迹评选或报告会；</w:t>
      </w:r>
    </w:p>
    <w:p>
      <w:pPr>
        <w:pStyle w:val="8"/>
        <w:widowControl/>
        <w:spacing w:beforeAutospacing="0" w:afterAutospacing="0" w:line="360" w:lineRule="auto"/>
        <w:ind w:left="1088"/>
      </w:pPr>
      <w:r>
        <w:rPr>
          <w:rFonts w:hint="eastAsia" w:ascii="仿宋" w:hAnsi="仿宋" w:eastAsia="仿宋" w:cs="仿宋"/>
          <w:sz w:val="25"/>
          <w:szCs w:val="25"/>
        </w:rPr>
        <w:t>3、学院学科特色活动；</w:t>
      </w:r>
    </w:p>
    <w:p>
      <w:pPr>
        <w:pStyle w:val="8"/>
        <w:widowControl/>
        <w:spacing w:beforeAutospacing="0" w:afterAutospacing="0" w:line="360" w:lineRule="auto"/>
        <w:ind w:left="1088"/>
      </w:pPr>
      <w:r>
        <w:rPr>
          <w:rFonts w:hint="eastAsia" w:ascii="仿宋" w:hAnsi="仿宋" w:eastAsia="仿宋" w:cs="仿宋"/>
          <w:sz w:val="25"/>
          <w:szCs w:val="25"/>
        </w:rPr>
        <w:t>4、课外各类讲座活动等等。</w:t>
      </w:r>
    </w:p>
    <w:p>
      <w:pPr>
        <w:pStyle w:val="8"/>
        <w:widowControl/>
        <w:spacing w:line="360" w:lineRule="auto"/>
        <w:ind w:firstLine="516"/>
      </w:pPr>
      <w:r>
        <w:rPr>
          <w:rFonts w:hint="eastAsia" w:ascii="仿宋" w:hAnsi="仿宋" w:eastAsia="仿宋" w:cs="仿宋"/>
          <w:sz w:val="25"/>
          <w:szCs w:val="25"/>
        </w:rPr>
        <w:t>每次加0.1分，加分上限为0.8分，累加后超过0.8分的按0.8分计。此类活动在开始前必须报学院备案同意，活动结束后须有名单备案。如遇特殊情况，经学院批准，可适当调整加分值。</w:t>
      </w:r>
    </w:p>
    <w:p>
      <w:pPr>
        <w:pStyle w:val="8"/>
        <w:widowControl/>
        <w:spacing w:line="360" w:lineRule="auto"/>
        <w:ind w:firstLine="516"/>
        <w:rPr>
          <w:rFonts w:hint="eastAsia" w:ascii="仿宋" w:hAnsi="仿宋" w:eastAsia="仿宋" w:cs="仿宋"/>
          <w:sz w:val="25"/>
          <w:szCs w:val="25"/>
        </w:rPr>
      </w:pPr>
      <w:r>
        <w:rPr>
          <w:rFonts w:hint="eastAsia" w:ascii="仿宋" w:hAnsi="仿宋" w:eastAsia="仿宋" w:cs="仿宋"/>
          <w:sz w:val="25"/>
          <w:szCs w:val="25"/>
        </w:rPr>
        <w:t> </w:t>
      </w:r>
    </w:p>
    <w:p>
      <w:pPr>
        <w:pStyle w:val="8"/>
        <w:widowControl/>
        <w:spacing w:line="360" w:lineRule="auto"/>
      </w:pPr>
      <w:r>
        <w:rPr>
          <w:rStyle w:val="10"/>
          <w:rFonts w:hint="eastAsia" w:ascii="仿宋" w:hAnsi="仿宋" w:eastAsia="仿宋" w:cs="仿宋"/>
          <w:sz w:val="25"/>
          <w:szCs w:val="25"/>
        </w:rPr>
        <w:t>第十三条 扣分</w:t>
      </w:r>
    </w:p>
    <w:p>
      <w:pPr>
        <w:pStyle w:val="8"/>
        <w:widowControl/>
        <w:spacing w:beforeAutospacing="0" w:after="38" w:afterAutospacing="0" w:line="360" w:lineRule="auto"/>
      </w:pPr>
      <w:r>
        <w:rPr>
          <w:rFonts w:hint="eastAsia" w:ascii="宋体" w:hAnsi="宋体" w:eastAsia="宋体" w:cs="宋体"/>
          <w:sz w:val="25"/>
          <w:szCs w:val="25"/>
        </w:rPr>
        <w:t>  </w:t>
      </w:r>
      <w:r>
        <w:rPr>
          <w:rFonts w:hint="eastAsia" w:ascii="仿宋" w:hAnsi="仿宋" w:eastAsia="仿宋" w:cs="仿宋"/>
          <w:sz w:val="25"/>
          <w:szCs w:val="25"/>
        </w:rPr>
        <w:t>学生违反学校、学院相关规章制度的，扣分办法如下：</w:t>
      </w:r>
    </w:p>
    <w:tbl>
      <w:tblPr>
        <w:tblStyle w:val="12"/>
        <w:tblW w:w="6804" w:type="dxa"/>
        <w:tblCellSpacing w:w="0" w:type="dxa"/>
        <w:tblInd w:w="15" w:type="dxa"/>
        <w:tblLayout w:type="fixed"/>
        <w:tblCellMar>
          <w:top w:w="0" w:type="dxa"/>
          <w:left w:w="0" w:type="dxa"/>
          <w:bottom w:w="0" w:type="dxa"/>
          <w:right w:w="0" w:type="dxa"/>
        </w:tblCellMar>
      </w:tblPr>
      <w:tblGrid>
        <w:gridCol w:w="1020"/>
        <w:gridCol w:w="5784"/>
      </w:tblGrid>
      <w:tr>
        <w:tblPrEx>
          <w:tblLayout w:type="fixed"/>
          <w:tblCellMar>
            <w:top w:w="0" w:type="dxa"/>
            <w:left w:w="0" w:type="dxa"/>
            <w:bottom w:w="0" w:type="dxa"/>
            <w:right w:w="0" w:type="dxa"/>
          </w:tblCellMar>
        </w:tblPrEx>
        <w:trPr>
          <w:trHeight w:val="228" w:hRule="atLeast"/>
          <w:tblCellSpacing w:w="0" w:type="dxa"/>
        </w:trPr>
        <w:tc>
          <w:tcPr>
            <w:tcW w:w="1020" w:type="dxa"/>
            <w:tcBorders>
              <w:top w:val="single" w:color="000000" w:sz="6" w:space="0"/>
              <w:left w:val="single" w:color="000000" w:sz="6" w:space="0"/>
              <w:bottom w:val="single" w:color="000000" w:sz="6" w:space="0"/>
              <w:right w:val="single" w:color="000000" w:sz="6" w:space="0"/>
            </w:tcBorders>
            <w:shd w:val="clear" w:color="auto" w:fill="auto"/>
            <w:tcMar>
              <w:left w:w="84" w:type="dxa"/>
              <w:right w:w="84" w:type="dxa"/>
            </w:tcMar>
          </w:tcPr>
          <w:p>
            <w:pPr>
              <w:pStyle w:val="8"/>
              <w:widowControl/>
              <w:spacing w:beforeAutospacing="0" w:after="38" w:afterAutospacing="0" w:line="360" w:lineRule="auto"/>
            </w:pPr>
            <w:r>
              <w:rPr>
                <w:rFonts w:hint="eastAsia" w:ascii="仿宋" w:hAnsi="仿宋" w:eastAsia="仿宋" w:cs="仿宋"/>
                <w:sz w:val="25"/>
                <w:szCs w:val="25"/>
              </w:rPr>
              <w:t>扣分</w:t>
            </w:r>
          </w:p>
        </w:tc>
        <w:tc>
          <w:tcPr>
            <w:tcW w:w="5784" w:type="dxa"/>
            <w:tcBorders>
              <w:top w:val="single" w:color="000000" w:sz="6" w:space="0"/>
              <w:left w:val="nil"/>
              <w:bottom w:val="single" w:color="000000" w:sz="6" w:space="0"/>
              <w:right w:val="single" w:color="000000" w:sz="6" w:space="0"/>
            </w:tcBorders>
            <w:shd w:val="clear" w:color="auto" w:fill="auto"/>
            <w:tcMar>
              <w:left w:w="84" w:type="dxa"/>
              <w:right w:w="84" w:type="dxa"/>
            </w:tcMar>
          </w:tcPr>
          <w:p>
            <w:pPr>
              <w:pStyle w:val="8"/>
              <w:widowControl/>
              <w:spacing w:beforeAutospacing="0" w:after="38" w:afterAutospacing="0" w:line="360" w:lineRule="auto"/>
              <w:ind w:firstLine="2556"/>
            </w:pPr>
            <w:r>
              <w:rPr>
                <w:rFonts w:hint="eastAsia" w:ascii="仿宋" w:hAnsi="仿宋" w:eastAsia="仿宋" w:cs="仿宋"/>
                <w:sz w:val="25"/>
                <w:szCs w:val="25"/>
              </w:rPr>
              <w:t>原因</w:t>
            </w:r>
          </w:p>
        </w:tc>
      </w:tr>
      <w:tr>
        <w:tblPrEx>
          <w:tblLayout w:type="fixed"/>
          <w:tblCellMar>
            <w:top w:w="0" w:type="dxa"/>
            <w:left w:w="0" w:type="dxa"/>
            <w:bottom w:w="0" w:type="dxa"/>
            <w:right w:w="0" w:type="dxa"/>
          </w:tblCellMar>
        </w:tblPrEx>
        <w:trPr>
          <w:trHeight w:val="948" w:hRule="atLeast"/>
          <w:tblCellSpacing w:w="0" w:type="dxa"/>
        </w:trPr>
        <w:tc>
          <w:tcPr>
            <w:tcW w:w="1020" w:type="dxa"/>
            <w:tcBorders>
              <w:top w:val="nil"/>
              <w:left w:val="single" w:color="000000" w:sz="6" w:space="0"/>
              <w:bottom w:val="single" w:color="000000" w:sz="6" w:space="0"/>
              <w:right w:val="single" w:color="000000" w:sz="6" w:space="0"/>
            </w:tcBorders>
            <w:shd w:val="clear" w:color="auto" w:fill="auto"/>
            <w:tcMar>
              <w:left w:w="84" w:type="dxa"/>
              <w:right w:w="84" w:type="dxa"/>
            </w:tcMar>
          </w:tcPr>
          <w:p>
            <w:pPr>
              <w:pStyle w:val="8"/>
              <w:widowControl/>
              <w:spacing w:beforeAutospacing="0" w:after="38" w:afterAutospacing="0" w:line="360" w:lineRule="auto"/>
            </w:pPr>
            <w:r>
              <w:rPr>
                <w:rFonts w:hint="eastAsia" w:ascii="仿宋" w:hAnsi="仿宋" w:eastAsia="仿宋" w:cs="仿宋"/>
                <w:sz w:val="25"/>
                <w:szCs w:val="25"/>
              </w:rPr>
              <w:t> </w:t>
            </w:r>
          </w:p>
          <w:p>
            <w:pPr>
              <w:pStyle w:val="8"/>
              <w:widowControl/>
              <w:spacing w:beforeAutospacing="0" w:after="38" w:afterAutospacing="0" w:line="360" w:lineRule="auto"/>
            </w:pPr>
            <w:r>
              <w:rPr>
                <w:rFonts w:hint="eastAsia" w:ascii="仿宋" w:hAnsi="仿宋" w:eastAsia="仿宋" w:cs="仿宋"/>
                <w:sz w:val="25"/>
                <w:szCs w:val="25"/>
              </w:rPr>
              <w:t>0.2</w:t>
            </w:r>
          </w:p>
        </w:tc>
        <w:tc>
          <w:tcPr>
            <w:tcW w:w="5784" w:type="dxa"/>
            <w:tcBorders>
              <w:top w:val="nil"/>
              <w:left w:val="nil"/>
              <w:bottom w:val="single" w:color="000000" w:sz="6" w:space="0"/>
              <w:right w:val="single" w:color="000000" w:sz="6" w:space="0"/>
            </w:tcBorders>
            <w:shd w:val="clear" w:color="auto" w:fill="auto"/>
            <w:tcMar>
              <w:left w:w="84" w:type="dxa"/>
              <w:right w:w="84" w:type="dxa"/>
            </w:tcMar>
          </w:tcPr>
          <w:p>
            <w:pPr>
              <w:pStyle w:val="8"/>
              <w:widowControl/>
              <w:spacing w:beforeAutospacing="0" w:after="38" w:afterAutospacing="0" w:line="360" w:lineRule="auto"/>
            </w:pPr>
            <w:r>
              <w:rPr>
                <w:rFonts w:hint="eastAsia" w:ascii="仿宋" w:hAnsi="仿宋" w:eastAsia="仿宋" w:cs="仿宋"/>
                <w:sz w:val="25"/>
                <w:szCs w:val="25"/>
              </w:rPr>
              <w:t>在校、院系有关部门及学生会的卫生检查中，评为不合格宿舍的成员；</w:t>
            </w:r>
            <w:r>
              <w:rPr>
                <w:rFonts w:hint="eastAsia" w:ascii="仿宋" w:hAnsi="仿宋" w:eastAsia="仿宋" w:cs="仿宋"/>
                <w:sz w:val="25"/>
                <w:szCs w:val="25"/>
              </w:rPr>
              <w:br w:type="textWrapping"/>
            </w:r>
            <w:r>
              <w:rPr>
                <w:rFonts w:hint="eastAsia" w:ascii="仿宋" w:hAnsi="仿宋" w:eastAsia="仿宋" w:cs="仿宋"/>
                <w:sz w:val="25"/>
                <w:szCs w:val="25"/>
              </w:rPr>
              <w:t>  在校、院系有关部门及学生会的卫生检查中，无故拒绝卫生检查的宿舍成员</w:t>
            </w:r>
          </w:p>
        </w:tc>
      </w:tr>
    </w:tbl>
    <w:p>
      <w:pPr>
        <w:pStyle w:val="8"/>
        <w:widowControl/>
        <w:spacing w:line="360" w:lineRule="auto"/>
        <w:jc w:val="center"/>
      </w:pPr>
      <w:r>
        <w:rPr>
          <w:rFonts w:hint="eastAsia" w:ascii="仿宋" w:hAnsi="仿宋" w:eastAsia="仿宋" w:cs="仿宋"/>
          <w:sz w:val="25"/>
          <w:szCs w:val="25"/>
        </w:rPr>
        <w:t> </w:t>
      </w:r>
    </w:p>
    <w:p>
      <w:pPr>
        <w:pStyle w:val="8"/>
        <w:widowControl/>
        <w:spacing w:line="360" w:lineRule="auto"/>
        <w:jc w:val="center"/>
      </w:pPr>
      <w:r>
        <w:rPr>
          <w:rStyle w:val="10"/>
          <w:rFonts w:hint="eastAsia" w:ascii="仿宋" w:hAnsi="仿宋" w:eastAsia="仿宋" w:cs="仿宋"/>
          <w:sz w:val="25"/>
          <w:szCs w:val="25"/>
        </w:rPr>
        <w:t>第三章</w:t>
      </w:r>
      <w:r>
        <w:rPr>
          <w:rStyle w:val="10"/>
          <w:rFonts w:hint="eastAsia" w:ascii="宋体" w:hAnsi="宋体" w:eastAsia="宋体" w:cs="宋体"/>
          <w:sz w:val="25"/>
          <w:szCs w:val="25"/>
        </w:rPr>
        <w:t> </w:t>
      </w:r>
      <w:r>
        <w:rPr>
          <w:rStyle w:val="10"/>
          <w:rFonts w:hint="eastAsia" w:ascii="仿宋" w:hAnsi="仿宋" w:eastAsia="仿宋" w:cs="仿宋"/>
          <w:sz w:val="25"/>
          <w:szCs w:val="25"/>
        </w:rPr>
        <w:t>附则</w:t>
      </w:r>
    </w:p>
    <w:p>
      <w:pPr>
        <w:pStyle w:val="8"/>
        <w:widowControl/>
        <w:spacing w:before="96" w:beforeAutospacing="0" w:afterAutospacing="0" w:line="360" w:lineRule="auto"/>
        <w:rPr>
          <w:rFonts w:hint="eastAsia" w:ascii="仿宋" w:hAnsi="仿宋" w:eastAsia="仿宋" w:cs="仿宋"/>
          <w:sz w:val="25"/>
          <w:szCs w:val="25"/>
        </w:rPr>
      </w:pPr>
      <w:r>
        <w:rPr>
          <w:rStyle w:val="10"/>
          <w:rFonts w:hint="eastAsia" w:ascii="仿宋" w:hAnsi="仿宋" w:eastAsia="仿宋" w:cs="仿宋"/>
          <w:sz w:val="25"/>
          <w:szCs w:val="25"/>
        </w:rPr>
        <w:t>第十四条</w:t>
      </w:r>
      <w:r>
        <w:rPr>
          <w:rFonts w:hint="eastAsia" w:ascii="宋体" w:hAnsi="宋体" w:eastAsia="宋体" w:cs="宋体"/>
          <w:sz w:val="25"/>
          <w:szCs w:val="25"/>
        </w:rPr>
        <w:t> </w:t>
      </w:r>
      <w:r>
        <w:rPr>
          <w:rFonts w:hint="eastAsia" w:ascii="仿宋" w:hAnsi="仿宋" w:eastAsia="仿宋" w:cs="仿宋"/>
          <w:sz w:val="25"/>
          <w:szCs w:val="25"/>
        </w:rPr>
        <w:t>本办法由大气科学学院学生工作部负责解释和修订。</w:t>
      </w:r>
    </w:p>
    <w:p>
      <w:pPr>
        <w:pStyle w:val="8"/>
        <w:widowControl/>
        <w:spacing w:before="96" w:beforeAutospacing="0" w:afterAutospacing="0" w:line="360" w:lineRule="auto"/>
      </w:pPr>
      <w:r>
        <w:rPr>
          <w:rStyle w:val="10"/>
          <w:rFonts w:hint="eastAsia" w:ascii="仿宋" w:hAnsi="仿宋" w:eastAsia="仿宋" w:cs="仿宋"/>
          <w:sz w:val="25"/>
          <w:szCs w:val="25"/>
        </w:rPr>
        <w:t>第十五条</w:t>
      </w:r>
      <w:r>
        <w:rPr>
          <w:rFonts w:hint="eastAsia" w:ascii="宋体" w:hAnsi="宋体" w:eastAsia="宋体" w:cs="宋体"/>
          <w:sz w:val="25"/>
          <w:szCs w:val="25"/>
        </w:rPr>
        <w:t> </w:t>
      </w:r>
      <w:r>
        <w:rPr>
          <w:rFonts w:hint="eastAsia" w:ascii="仿宋" w:hAnsi="仿宋" w:eastAsia="仿宋" w:cs="仿宋"/>
          <w:sz w:val="25"/>
          <w:szCs w:val="25"/>
        </w:rPr>
        <w:t>本办法自公布之日起实施。</w:t>
      </w:r>
    </w:p>
    <w:p>
      <w:pPr>
        <w:pStyle w:val="8"/>
        <w:widowControl/>
        <w:spacing w:before="96" w:beforeAutospacing="0" w:afterAutospacing="0" w:line="360" w:lineRule="auto"/>
        <w:ind w:firstLine="504"/>
        <w:jc w:val="right"/>
      </w:pPr>
      <w:r>
        <w:rPr>
          <w:rFonts w:hint="eastAsia" w:ascii="仿宋" w:hAnsi="仿宋" w:eastAsia="仿宋" w:cs="仿宋"/>
          <w:sz w:val="25"/>
          <w:szCs w:val="25"/>
        </w:rPr>
        <w:t>大气科学学院</w:t>
      </w:r>
    </w:p>
    <w:p>
      <w:pPr>
        <w:pStyle w:val="8"/>
        <w:widowControl/>
        <w:spacing w:before="96" w:beforeAutospacing="0" w:afterAutospacing="0" w:line="360" w:lineRule="auto"/>
        <w:ind w:firstLine="504"/>
        <w:jc w:val="right"/>
      </w:pPr>
      <w:r>
        <w:rPr>
          <w:rFonts w:hint="eastAsia" w:ascii="仿宋" w:hAnsi="仿宋" w:eastAsia="仿宋" w:cs="仿宋"/>
          <w:sz w:val="25"/>
          <w:szCs w:val="25"/>
        </w:rPr>
        <w:t>2018年</w:t>
      </w:r>
      <w:r>
        <w:rPr>
          <w:rFonts w:hint="eastAsia" w:ascii="仿宋" w:hAnsi="仿宋" w:eastAsia="仿宋" w:cs="仿宋"/>
          <w:sz w:val="25"/>
          <w:szCs w:val="25"/>
          <w:lang w:val="en-US" w:eastAsia="zh-CN"/>
        </w:rPr>
        <w:t>12</w:t>
      </w:r>
      <w:r>
        <w:rPr>
          <w:rFonts w:hint="eastAsia" w:ascii="仿宋" w:hAnsi="仿宋" w:eastAsia="仿宋" w:cs="仿宋"/>
          <w:sz w:val="25"/>
          <w:szCs w:val="25"/>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8A30E"/>
    <w:multiLevelType w:val="singleLevel"/>
    <w:tmpl w:val="9DB8A30E"/>
    <w:lvl w:ilvl="0" w:tentative="0">
      <w:start w:val="1"/>
      <w:numFmt w:val="decimal"/>
      <w:suff w:val="nothing"/>
      <w:lvlText w:val="%1、"/>
      <w:lvlJc w:val="left"/>
    </w:lvl>
  </w:abstractNum>
  <w:abstractNum w:abstractNumId="1">
    <w:nsid w:val="182016BF"/>
    <w:multiLevelType w:val="singleLevel"/>
    <w:tmpl w:val="182016BF"/>
    <w:lvl w:ilvl="0" w:tentative="0">
      <w:start w:val="1"/>
      <w:numFmt w:val="decimal"/>
      <w:suff w:val="nothing"/>
      <w:lvlText w:val="%1、"/>
      <w:lvlJc w:val="left"/>
    </w:lvl>
  </w:abstractNum>
  <w:abstractNum w:abstractNumId="2">
    <w:nsid w:val="5DF17DF4"/>
    <w:multiLevelType w:val="singleLevel"/>
    <w:tmpl w:val="5DF17DF4"/>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A8"/>
    <w:rsid w:val="00111043"/>
    <w:rsid w:val="001C3E93"/>
    <w:rsid w:val="002B5B40"/>
    <w:rsid w:val="002D5A44"/>
    <w:rsid w:val="00321E34"/>
    <w:rsid w:val="003F45C7"/>
    <w:rsid w:val="003F4865"/>
    <w:rsid w:val="00426B4C"/>
    <w:rsid w:val="00686188"/>
    <w:rsid w:val="00695DBA"/>
    <w:rsid w:val="006965E1"/>
    <w:rsid w:val="006C1EDF"/>
    <w:rsid w:val="00970824"/>
    <w:rsid w:val="00975D7E"/>
    <w:rsid w:val="00AC7A26"/>
    <w:rsid w:val="00B67B13"/>
    <w:rsid w:val="00C22BD4"/>
    <w:rsid w:val="00CC03A8"/>
    <w:rsid w:val="00F17D79"/>
    <w:rsid w:val="00F636CC"/>
    <w:rsid w:val="00F87748"/>
    <w:rsid w:val="02402B57"/>
    <w:rsid w:val="0B0477EC"/>
    <w:rsid w:val="0C050825"/>
    <w:rsid w:val="0E2A478C"/>
    <w:rsid w:val="0FDA6AB9"/>
    <w:rsid w:val="1C322CFB"/>
    <w:rsid w:val="1FE20D1C"/>
    <w:rsid w:val="230B3548"/>
    <w:rsid w:val="2CC22E30"/>
    <w:rsid w:val="373D21C7"/>
    <w:rsid w:val="38E454EE"/>
    <w:rsid w:val="4A671631"/>
    <w:rsid w:val="506C7C02"/>
    <w:rsid w:val="51236695"/>
    <w:rsid w:val="62276F57"/>
    <w:rsid w:val="669E08B9"/>
    <w:rsid w:val="6A9E44CA"/>
    <w:rsid w:val="6AAC6604"/>
    <w:rsid w:val="6C29172B"/>
    <w:rsid w:val="6E1F4C4D"/>
    <w:rsid w:val="6FC62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qFormat/>
    <w:uiPriority w:val="0"/>
    <w:rPr>
      <w:b/>
      <w:bCs/>
    </w:rPr>
  </w:style>
  <w:style w:type="paragraph" w:styleId="4">
    <w:name w:val="annotation text"/>
    <w:basedOn w:val="1"/>
    <w:link w:val="19"/>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4">
    <w:name w:val="Table-temp-blank"/>
    <w:basedOn w:val="12"/>
    <w:qFormat/>
    <w:uiPriority w:val="99"/>
    <w:pPr>
      <w:jc w:val="center"/>
    </w:pPr>
    <w:rPr>
      <w:rFonts w:eastAsia="微软雅黑"/>
      <w:color w:val="3F3F3F"/>
      <w:sz w:val="15"/>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shd w:val="clear" w:color="auto" w:fill="FFFFFF"/>
    </w:tcPr>
    <w:tblStylePr w:type="firstRow">
      <w:tcPr>
        <w:shd w:val="clear" w:color="auto" w:fill="F1F1F1"/>
      </w:tcPr>
    </w:tblStylePr>
  </w:style>
  <w:style w:type="table" w:customStyle="1" w:styleId="15">
    <w:name w:val="Table-temp"/>
    <w:basedOn w:val="12"/>
    <w:qFormat/>
    <w:uiPriority w:val="99"/>
    <w:pPr>
      <w:jc w:val="both"/>
    </w:pPr>
    <w:rPr>
      <w:rFonts w:ascii="宋体" w:hAnsi="宋体" w:cs="宋体"/>
      <w:color w:val="3F3F3F"/>
      <w:sz w:val="18"/>
      <w:szCs w:val="15"/>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blStylePr w:type="firstRow">
      <w:rPr>
        <w:color w:val="7E7E7E"/>
      </w:rPr>
      <w:tcPr>
        <w:shd w:val="clear" w:color="auto" w:fill="F1F1F1"/>
      </w:tcPr>
    </w:tblStylePr>
    <w:tblStylePr w:type="firstCol">
      <w:rPr>
        <w:color w:val="7E7E7E"/>
      </w:rPr>
      <w:tcPr>
        <w:shd w:val="clear" w:color="auto" w:fill="F1F1F1"/>
      </w:tcPr>
    </w:tblStylePr>
  </w:style>
  <w:style w:type="character" w:customStyle="1" w:styleId="16">
    <w:name w:val="批注框文本 字符"/>
    <w:basedOn w:val="9"/>
    <w:link w:val="5"/>
    <w:qFormat/>
    <w:uiPriority w:val="0"/>
    <w:rPr>
      <w:rFonts w:asciiTheme="minorHAnsi" w:hAnsiTheme="minorHAnsi" w:eastAsiaTheme="minorEastAsia" w:cstheme="minorBidi"/>
      <w:kern w:val="2"/>
      <w:sz w:val="18"/>
      <w:szCs w:val="18"/>
    </w:rPr>
  </w:style>
  <w:style w:type="character" w:customStyle="1" w:styleId="17">
    <w:name w:val="页眉 字符"/>
    <w:basedOn w:val="9"/>
    <w:link w:val="7"/>
    <w:qFormat/>
    <w:uiPriority w:val="0"/>
    <w:rPr>
      <w:rFonts w:asciiTheme="minorHAnsi" w:hAnsiTheme="minorHAnsi" w:eastAsiaTheme="minorEastAsia" w:cstheme="minorBidi"/>
      <w:kern w:val="2"/>
      <w:sz w:val="18"/>
      <w:szCs w:val="18"/>
    </w:rPr>
  </w:style>
  <w:style w:type="character" w:customStyle="1" w:styleId="18">
    <w:name w:val="页脚 字符"/>
    <w:basedOn w:val="9"/>
    <w:link w:val="6"/>
    <w:qFormat/>
    <w:uiPriority w:val="0"/>
    <w:rPr>
      <w:rFonts w:asciiTheme="minorHAnsi" w:hAnsiTheme="minorHAnsi" w:eastAsiaTheme="minorEastAsia" w:cstheme="minorBidi"/>
      <w:kern w:val="2"/>
      <w:sz w:val="18"/>
      <w:szCs w:val="18"/>
    </w:rPr>
  </w:style>
  <w:style w:type="character" w:customStyle="1" w:styleId="19">
    <w:name w:val="批注文字 字符"/>
    <w:basedOn w:val="9"/>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3"/>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1428</Words>
  <Characters>8142</Characters>
  <Lines>67</Lines>
  <Paragraphs>19</Paragraphs>
  <TotalTime>39</TotalTime>
  <ScaleCrop>false</ScaleCrop>
  <LinksUpToDate>false</LinksUpToDate>
  <CharactersWithSpaces>9551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2018-11-12T13:07:00Z</dcterms:created>
  <dc:creator>dell</dc:creator>
  <cp:lastModifiedBy>春宵贰刻</cp:lastModifiedBy>
  <dcterms:modified xsi:type="dcterms:W3CDTF">2018-12-13T03:20:03Z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